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40" w:lineRule="exact"/>
        <w:jc w:val="center"/>
        <w:rPr>
          <w:rFonts w:hint="eastAsia" w:ascii="方正黑体_GBK" w:hAnsi="方正黑体_GBK" w:eastAsia="方正黑体_GBK" w:cs="方正黑体_GBK"/>
          <w:sz w:val="44"/>
          <w:szCs w:val="44"/>
        </w:rPr>
      </w:pPr>
      <w:bookmarkStart w:id="7" w:name="_GoBack"/>
      <w:bookmarkEnd w:id="7"/>
      <w:r>
        <w:rPr>
          <w:rFonts w:hint="eastAsia" w:ascii="方正黑体_GBK" w:hAnsi="方正黑体_GBK" w:eastAsia="方正黑体_GBK" w:cs="方正黑体_GBK"/>
          <w:sz w:val="44"/>
          <w:szCs w:val="44"/>
        </w:rPr>
        <w:t>重庆市农业投资集团有限公司</w:t>
      </w:r>
    </w:p>
    <w:p>
      <w:pPr>
        <w:snapToGrid w:val="0"/>
        <w:spacing w:line="640" w:lineRule="exact"/>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信息系统信创升级改造及推广项目</w:t>
      </w:r>
    </w:p>
    <w:p>
      <w:pPr>
        <w:snapToGrid w:val="0"/>
        <w:spacing w:line="640" w:lineRule="exact"/>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监理服务竞争性比选公告</w:t>
      </w:r>
    </w:p>
    <w:p>
      <w:pPr>
        <w:pStyle w:val="6"/>
        <w:tabs>
          <w:tab w:val="left" w:pos="645"/>
        </w:tabs>
        <w:adjustRightInd w:val="0"/>
        <w:snapToGrid w:val="0"/>
        <w:spacing w:before="0" w:beforeAutospacing="0" w:after="0" w:afterAutospacing="0" w:line="0" w:lineRule="atLeast"/>
        <w:jc w:val="center"/>
        <w:rPr>
          <w:rFonts w:ascii="方正黑体_GBK" w:hAnsi="方正黑体_GBK" w:eastAsia="方正黑体_GBK" w:cs="方正黑体_GBK"/>
          <w:sz w:val="32"/>
          <w:szCs w:val="32"/>
        </w:rPr>
      </w:pPr>
    </w:p>
    <w:p>
      <w:pPr>
        <w:spacing w:line="600" w:lineRule="exact"/>
        <w:jc w:val="left"/>
        <w:rPr>
          <w:rFonts w:hint="eastAsia" w:ascii="方正仿宋_GBK" w:hAnsi="方正仿宋_GBK" w:cs="方正仿宋_GBK"/>
          <w:szCs w:val="32"/>
        </w:rPr>
      </w:pPr>
      <w:r>
        <w:rPr>
          <w:rFonts w:hint="eastAsia" w:ascii="方正仿宋_GBK" w:hAnsi="方正仿宋_GBK" w:cs="方正仿宋_GBK"/>
          <w:szCs w:val="32"/>
        </w:rPr>
        <w:t>各监理机构：</w:t>
      </w:r>
    </w:p>
    <w:p>
      <w:pPr>
        <w:snapToGrid w:val="0"/>
        <w:spacing w:line="600" w:lineRule="exact"/>
        <w:ind w:firstLine="640" w:firstLineChars="200"/>
        <w:jc w:val="left"/>
        <w:rPr>
          <w:rFonts w:hint="eastAsia" w:ascii="方正仿宋_GBK" w:hAnsi="方正仿宋_GBK" w:cs="方正仿宋_GBK"/>
          <w:szCs w:val="32"/>
        </w:rPr>
      </w:pPr>
      <w:r>
        <w:rPr>
          <w:rFonts w:hint="eastAsia" w:ascii="方正仿宋_GBK" w:hAnsi="方正仿宋_GBK" w:cs="方正仿宋_GBK"/>
          <w:szCs w:val="32"/>
        </w:rPr>
        <w:t>重庆市农业投资集团有限公司信息系统信创升级改造及推广项目已正式启动。为保障项目规范有序推进，现面向社会公开开展监理服务竞争性比选采购，诚邀具备相应资质与服务能力的监理机构踊跃报名、积极参与。</w:t>
      </w:r>
    </w:p>
    <w:p>
      <w:pPr>
        <w:snapToGrid w:val="0"/>
        <w:spacing w:line="600" w:lineRule="exact"/>
        <w:ind w:firstLine="640" w:firstLineChars="200"/>
        <w:jc w:val="left"/>
        <w:rPr>
          <w:rFonts w:hint="eastAsia" w:ascii="方正黑体_GBK" w:hAnsi="方正黑体_GBK" w:eastAsia="方正黑体_GBK" w:cs="方正黑体_GBK"/>
          <w:szCs w:val="32"/>
        </w:rPr>
      </w:pPr>
      <w:r>
        <w:rPr>
          <w:rFonts w:hint="eastAsia" w:ascii="方正黑体_GBK" w:hAnsi="方正黑体_GBK" w:eastAsia="方正黑体_GBK" w:cs="方正黑体_GBK"/>
          <w:szCs w:val="32"/>
        </w:rPr>
        <w:t>一、采购服务名称</w:t>
      </w:r>
    </w:p>
    <w:p>
      <w:pPr>
        <w:spacing w:line="600" w:lineRule="exact"/>
        <w:ind w:firstLine="640" w:firstLineChars="200"/>
        <w:jc w:val="left"/>
      </w:pPr>
      <w:r>
        <w:rPr>
          <w:rFonts w:hint="eastAsia" w:ascii="方正仿宋_GBK" w:hAnsi="方正仿宋_GBK" w:cs="方正仿宋_GBK"/>
          <w:szCs w:val="32"/>
        </w:rPr>
        <w:t>重庆市农业投资集团有限公司信息系统信创升级改造及推广项目监理服务。</w:t>
      </w:r>
    </w:p>
    <w:p>
      <w:pPr>
        <w:snapToGrid w:val="0"/>
        <w:spacing w:line="600" w:lineRule="exact"/>
        <w:ind w:firstLine="640" w:firstLineChars="200"/>
        <w:jc w:val="left"/>
        <w:rPr>
          <w:rFonts w:hint="eastAsia" w:ascii="方正黑体_GBK" w:hAnsi="方正黑体_GBK" w:eastAsia="方正黑体_GBK" w:cs="方正黑体_GBK"/>
          <w:szCs w:val="32"/>
        </w:rPr>
      </w:pPr>
      <w:r>
        <w:rPr>
          <w:rFonts w:hint="eastAsia" w:ascii="方正黑体_GBK" w:hAnsi="方正黑体_GBK" w:eastAsia="方正黑体_GBK" w:cs="方正黑体_GBK"/>
          <w:szCs w:val="32"/>
        </w:rPr>
        <w:t>二、服务内容及要求</w:t>
      </w:r>
    </w:p>
    <w:p>
      <w:pPr>
        <w:snapToGrid w:val="0"/>
        <w:spacing w:line="600" w:lineRule="exact"/>
        <w:ind w:firstLine="640" w:firstLineChars="200"/>
        <w:jc w:val="left"/>
        <w:rPr>
          <w:rFonts w:hint="eastAsia" w:ascii="方正楷体_GBK" w:hAnsi="方正楷体_GBK" w:eastAsia="方正楷体_GBK" w:cs="方正楷体_GBK"/>
          <w:szCs w:val="32"/>
        </w:rPr>
      </w:pPr>
      <w:r>
        <w:rPr>
          <w:rFonts w:hint="eastAsia" w:ascii="方正楷体_GBK" w:hAnsi="方正楷体_GBK" w:eastAsia="方正楷体_GBK" w:cs="方正楷体_GBK"/>
          <w:szCs w:val="32"/>
        </w:rPr>
        <w:t>（一）项目概况</w:t>
      </w:r>
    </w:p>
    <w:p>
      <w:pPr>
        <w:snapToGrid w:val="0"/>
        <w:spacing w:line="600" w:lineRule="exact"/>
        <w:ind w:firstLine="640" w:firstLineChars="200"/>
        <w:jc w:val="left"/>
        <w:rPr>
          <w:rFonts w:hint="eastAsia" w:ascii="方正仿宋_GBK" w:hAnsi="方正仿宋_GBK" w:cs="方正仿宋_GBK"/>
          <w:szCs w:val="32"/>
        </w:rPr>
      </w:pPr>
      <w:r>
        <w:rPr>
          <w:rFonts w:hint="eastAsia" w:ascii="方正仿宋_GBK" w:hAnsi="方正仿宋_GBK" w:cs="方正仿宋_GBK"/>
          <w:szCs w:val="32"/>
        </w:rPr>
        <w:t>本项目须完成对现有数智化管控系统实施全栈式国产化替代与深度适配，同步推进部分业务系统功能迭代，实现系统与国产芯片、操作系统及基础软件环境的无缝兼容、稳定运行，并将信创改造完成后的数智化管控系统全面推广至集团所属企业。</w:t>
      </w:r>
    </w:p>
    <w:p>
      <w:pPr>
        <w:snapToGrid w:val="0"/>
        <w:spacing w:line="600" w:lineRule="exact"/>
        <w:ind w:firstLine="640" w:firstLineChars="200"/>
        <w:jc w:val="left"/>
        <w:rPr>
          <w:rFonts w:hint="eastAsia" w:ascii="方正楷体_GBK" w:hAnsi="方正楷体_GBK" w:eastAsia="方正楷体_GBK" w:cs="方正楷体_GBK"/>
          <w:szCs w:val="32"/>
        </w:rPr>
      </w:pPr>
      <w:r>
        <w:rPr>
          <w:rFonts w:hint="eastAsia" w:ascii="方正楷体_GBK" w:hAnsi="方正楷体_GBK" w:eastAsia="方正楷体_GBK" w:cs="方正楷体_GBK"/>
          <w:szCs w:val="32"/>
        </w:rPr>
        <w:t>（二）监理实施依据</w:t>
      </w:r>
    </w:p>
    <w:p>
      <w:pPr>
        <w:spacing w:line="600" w:lineRule="exact"/>
        <w:ind w:firstLine="640" w:firstLineChars="200"/>
        <w:jc w:val="left"/>
        <w:rPr>
          <w:rFonts w:hint="eastAsia" w:ascii="方正仿宋_GBK" w:hAnsi="方正仿宋_GBK" w:cs="方正仿宋_GBK"/>
          <w:szCs w:val="32"/>
        </w:rPr>
      </w:pPr>
      <w:r>
        <w:rPr>
          <w:rFonts w:hint="eastAsia" w:ascii="方正仿宋_GBK" w:hAnsi="方正仿宋_GBK" w:cs="方正仿宋_GBK"/>
          <w:szCs w:val="32"/>
        </w:rPr>
        <w:t>监理工作应遵循下列最新版本的标准、规范及依据文件：</w:t>
      </w:r>
    </w:p>
    <w:p>
      <w:pPr>
        <w:spacing w:line="600" w:lineRule="exact"/>
        <w:ind w:firstLine="640" w:firstLineChars="200"/>
        <w:jc w:val="left"/>
        <w:rPr>
          <w:szCs w:val="32"/>
        </w:rPr>
      </w:pPr>
      <w:r>
        <w:rPr>
          <w:szCs w:val="32"/>
        </w:rPr>
        <w:t>1.GB/T 19668《信息技术服务 监理》系列标准</w:t>
      </w:r>
      <w:r>
        <w:rPr>
          <w:rFonts w:hint="eastAsia"/>
          <w:szCs w:val="32"/>
        </w:rPr>
        <w:t>；</w:t>
      </w:r>
    </w:p>
    <w:p>
      <w:pPr>
        <w:pStyle w:val="9"/>
        <w:spacing w:after="0" w:line="600" w:lineRule="exact"/>
        <w:ind w:firstLine="640" w:firstLineChars="200"/>
        <w:jc w:val="left"/>
      </w:pPr>
      <w:r>
        <w:rPr>
          <w:szCs w:val="32"/>
        </w:rPr>
        <w:t>2.</w:t>
      </w:r>
      <w:r>
        <w:rPr>
          <w:rFonts w:hint="eastAsia"/>
        </w:rPr>
        <w:t>国家、行业及重庆市现行有关信息化项目监理的技术标准与管理规定；</w:t>
      </w:r>
    </w:p>
    <w:p>
      <w:pPr>
        <w:spacing w:line="600" w:lineRule="exact"/>
        <w:ind w:firstLine="640" w:firstLineChars="200"/>
        <w:jc w:val="left"/>
        <w:rPr>
          <w:szCs w:val="32"/>
        </w:rPr>
      </w:pPr>
      <w:r>
        <w:rPr>
          <w:rFonts w:hint="eastAsia"/>
          <w:szCs w:val="32"/>
        </w:rPr>
        <w:t>3</w:t>
      </w:r>
      <w:r>
        <w:rPr>
          <w:szCs w:val="32"/>
        </w:rPr>
        <w:t>.经批准的项目可行性研究报告、初步设计及</w:t>
      </w:r>
      <w:r>
        <w:rPr>
          <w:rFonts w:hint="eastAsia"/>
          <w:szCs w:val="32"/>
        </w:rPr>
        <w:t>预算</w:t>
      </w:r>
      <w:r>
        <w:rPr>
          <w:szCs w:val="32"/>
        </w:rPr>
        <w:t>批复；</w:t>
      </w:r>
    </w:p>
    <w:p>
      <w:pPr>
        <w:spacing w:line="600" w:lineRule="exact"/>
        <w:ind w:firstLine="640" w:firstLineChars="200"/>
        <w:jc w:val="left"/>
        <w:rPr>
          <w:szCs w:val="32"/>
        </w:rPr>
      </w:pPr>
      <w:r>
        <w:rPr>
          <w:rFonts w:hint="eastAsia"/>
          <w:szCs w:val="32"/>
        </w:rPr>
        <w:t>4.</w:t>
      </w:r>
      <w:r>
        <w:rPr>
          <w:szCs w:val="32"/>
        </w:rPr>
        <w:t>建设单位与监理单位签订的委托监理合同；</w:t>
      </w:r>
    </w:p>
    <w:p>
      <w:pPr>
        <w:spacing w:line="600" w:lineRule="exact"/>
        <w:ind w:firstLine="640" w:firstLineChars="200"/>
        <w:jc w:val="left"/>
        <w:rPr>
          <w:szCs w:val="32"/>
        </w:rPr>
      </w:pPr>
      <w:r>
        <w:rPr>
          <w:rFonts w:hint="eastAsia"/>
          <w:szCs w:val="32"/>
        </w:rPr>
        <w:t>5</w:t>
      </w:r>
      <w:r>
        <w:rPr>
          <w:szCs w:val="32"/>
        </w:rPr>
        <w:t>.建设单位与承建单位签订的项目建设合同（含承建单位各分包合同）；</w:t>
      </w:r>
    </w:p>
    <w:p>
      <w:pPr>
        <w:spacing w:line="600" w:lineRule="exact"/>
        <w:ind w:firstLine="640" w:firstLineChars="200"/>
        <w:jc w:val="left"/>
        <w:rPr>
          <w:szCs w:val="32"/>
        </w:rPr>
      </w:pPr>
      <w:r>
        <w:rPr>
          <w:rFonts w:hint="eastAsia"/>
          <w:szCs w:val="32"/>
        </w:rPr>
        <w:t>6</w:t>
      </w:r>
      <w:r>
        <w:rPr>
          <w:szCs w:val="32"/>
        </w:rPr>
        <w:t>.项目设计文件、技术方案</w:t>
      </w:r>
      <w:r>
        <w:rPr>
          <w:rFonts w:hint="eastAsia"/>
          <w:szCs w:val="32"/>
        </w:rPr>
        <w:t>、</w:t>
      </w:r>
      <w:r>
        <w:rPr>
          <w:szCs w:val="32"/>
        </w:rPr>
        <w:t>需求说明书</w:t>
      </w:r>
      <w:r>
        <w:rPr>
          <w:rFonts w:hint="eastAsia"/>
          <w:szCs w:val="32"/>
        </w:rPr>
        <w:t>及相关说明</w:t>
      </w:r>
      <w:r>
        <w:rPr>
          <w:szCs w:val="32"/>
        </w:rPr>
        <w:t>；</w:t>
      </w:r>
    </w:p>
    <w:p>
      <w:pPr>
        <w:snapToGrid w:val="0"/>
        <w:spacing w:line="600" w:lineRule="exact"/>
        <w:ind w:firstLine="640" w:firstLineChars="200"/>
        <w:jc w:val="left"/>
        <w:rPr>
          <w:rFonts w:hint="eastAsia" w:ascii="方正楷体_GBK" w:hAnsi="方正楷体_GBK" w:eastAsia="方正楷体_GBK" w:cs="方正楷体_GBK"/>
          <w:szCs w:val="32"/>
        </w:rPr>
      </w:pPr>
      <w:bookmarkStart w:id="0" w:name="_Toc375594463"/>
      <w:bookmarkStart w:id="1" w:name="_Toc372712431"/>
      <w:r>
        <w:rPr>
          <w:rFonts w:hint="eastAsia" w:ascii="方正楷体_GBK" w:hAnsi="方正楷体_GBK" w:eastAsia="方正楷体_GBK" w:cs="方正楷体_GBK"/>
          <w:szCs w:val="32"/>
        </w:rPr>
        <w:t>（三）监理服务</w:t>
      </w:r>
      <w:bookmarkEnd w:id="0"/>
      <w:bookmarkEnd w:id="1"/>
      <w:bookmarkStart w:id="2" w:name="_Toc375594465"/>
      <w:bookmarkStart w:id="3" w:name="_Toc372712433"/>
      <w:r>
        <w:rPr>
          <w:rFonts w:hint="eastAsia" w:ascii="方正楷体_GBK" w:hAnsi="方正楷体_GBK" w:eastAsia="方正楷体_GBK" w:cs="方正楷体_GBK"/>
          <w:szCs w:val="32"/>
        </w:rPr>
        <w:t>内容</w:t>
      </w:r>
    </w:p>
    <w:p>
      <w:pPr>
        <w:spacing w:line="600" w:lineRule="exact"/>
        <w:ind w:firstLine="640" w:firstLineChars="200"/>
        <w:jc w:val="left"/>
      </w:pPr>
      <w:r>
        <w:rPr>
          <w:rFonts w:hint="eastAsia"/>
        </w:rPr>
        <w:t>按照“三控制、两管理、一协调”的原则，保证项目在规定的时间内完成，并实现项目建设的目标。具体内容包括：</w:t>
      </w:r>
    </w:p>
    <w:p>
      <w:pPr>
        <w:spacing w:line="600" w:lineRule="exact"/>
        <w:ind w:firstLine="640" w:firstLineChars="200"/>
        <w:jc w:val="left"/>
      </w:pPr>
      <w:r>
        <w:rPr>
          <w:rFonts w:hint="eastAsia"/>
        </w:rPr>
        <w:t>为更好地保证项目在质量、进度、成本等方面达到预期目标，从而对本项目实施监理，通过</w:t>
      </w:r>
      <w:r>
        <w:rPr>
          <w:rFonts w:hint="eastAsia"/>
          <w:lang w:val="en-US" w:eastAsia="zh-CN"/>
        </w:rPr>
        <w:t>监理单位</w:t>
      </w:r>
      <w:r>
        <w:rPr>
          <w:rFonts w:hint="eastAsia"/>
        </w:rPr>
        <w:t>的公平管理和组织协调，加强质量控制、进度控制、投资控制、系统安全控制、知识产权保护控制，加强系统建设的合同和信息管理，来实现对系统建设全过程的监督管理。主要监理需求如下：</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jc w:val="left"/>
        <w:textAlignment w:val="auto"/>
      </w:pPr>
      <w:r>
        <w:rPr>
          <w:rFonts w:hint="eastAsia"/>
        </w:rPr>
        <w:t>1.监理单位须紧扣项目建设目标要求，对项目全建设周期实施全方位管理、控制与统筹协调。各项工作须严格遵循国家及重庆市现行信息系统工程建设监理相关法规、技术标准及管理规范，采用适配本项目特点的先进、科学项目管理方法，全面管控项目质量、进度、投资、安全核心目标，统筹做好项目建设合同履约监督与工程建设文档资料标准化管理，保障项目规范、高效、有序推进。</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2.监理单位应紧扣项目建设目标与要求，结合项目实际按项目实施、验收评估、质保期三个阶段制定详细的监理工作目标、工作依据与管理制度，对项目建设全过程实施全方位、规范化管控，核心工作内容包括：</w:t>
      </w:r>
    </w:p>
    <w:p>
      <w:pPr>
        <w:spacing w:line="600" w:lineRule="exact"/>
        <w:ind w:firstLine="640" w:firstLineChars="200"/>
        <w:jc w:val="left"/>
        <w:rPr>
          <w:rFonts w:hint="eastAsia"/>
        </w:rPr>
      </w:pPr>
      <w:r>
        <w:rPr>
          <w:rFonts w:hint="eastAsia"/>
        </w:rPr>
        <w:t>（1）国产基础软硬件采购协助：配合建设单位开展国产基础软硬件采购相关支撑工作；</w:t>
      </w:r>
    </w:p>
    <w:p>
      <w:pPr>
        <w:spacing w:line="600" w:lineRule="exact"/>
        <w:ind w:firstLine="640" w:firstLineChars="200"/>
        <w:jc w:val="left"/>
        <w:rPr>
          <w:rFonts w:hint="eastAsia"/>
        </w:rPr>
      </w:pPr>
      <w:r>
        <w:rPr>
          <w:rFonts w:hint="eastAsia"/>
        </w:rPr>
        <w:t>（</w:t>
      </w:r>
      <w:r>
        <w:rPr>
          <w:rFonts w:hint="eastAsia"/>
          <w:lang w:val="en-US" w:eastAsia="zh-CN"/>
        </w:rPr>
        <w:t>2</w:t>
      </w:r>
      <w:r>
        <w:rPr>
          <w:rFonts w:hint="eastAsia"/>
        </w:rPr>
        <w:t>）总集成质量控制：对项目系统总集成全过程实施质量管控，保障各模块深度适配、稳定运行；</w:t>
      </w:r>
    </w:p>
    <w:p>
      <w:pPr>
        <w:spacing w:line="600" w:lineRule="exact"/>
        <w:ind w:firstLine="640" w:firstLineChars="200"/>
        <w:jc w:val="left"/>
        <w:rPr>
          <w:rFonts w:hint="eastAsia"/>
        </w:rPr>
      </w:pPr>
      <w:r>
        <w:rPr>
          <w:rFonts w:hint="eastAsia"/>
        </w:rPr>
        <w:t>（</w:t>
      </w:r>
      <w:r>
        <w:rPr>
          <w:rFonts w:hint="eastAsia"/>
          <w:lang w:val="en-US" w:eastAsia="zh-CN"/>
        </w:rPr>
        <w:t>3</w:t>
      </w:r>
      <w:r>
        <w:rPr>
          <w:rFonts w:hint="eastAsia"/>
        </w:rPr>
        <w:t>）施工质量与进度控制：严格管控项目实施质量与建设进度，动态跟踪偏差并督促整改，确保项目按计划推进；</w:t>
      </w:r>
    </w:p>
    <w:p>
      <w:pPr>
        <w:spacing w:line="600" w:lineRule="exact"/>
        <w:ind w:firstLine="640" w:firstLineChars="200"/>
        <w:jc w:val="left"/>
        <w:rPr>
          <w:rFonts w:hint="eastAsia"/>
        </w:rPr>
      </w:pPr>
      <w:r>
        <w:rPr>
          <w:rFonts w:hint="eastAsia"/>
        </w:rPr>
        <w:t>（</w:t>
      </w:r>
      <w:r>
        <w:rPr>
          <w:rFonts w:hint="eastAsia"/>
          <w:lang w:val="en-US" w:eastAsia="zh-CN"/>
        </w:rPr>
        <w:t>4</w:t>
      </w:r>
      <w:r>
        <w:rPr>
          <w:rFonts w:hint="eastAsia"/>
        </w:rPr>
        <w:t>）合同管理：全程监督建设合同履约情况，规范合同变更、索赔及纠纷处理流程；</w:t>
      </w:r>
    </w:p>
    <w:p>
      <w:pPr>
        <w:spacing w:line="600" w:lineRule="exact"/>
        <w:ind w:firstLine="640" w:firstLineChars="200"/>
        <w:jc w:val="left"/>
        <w:rPr>
          <w:rFonts w:hint="eastAsia"/>
        </w:rPr>
      </w:pPr>
      <w:r>
        <w:rPr>
          <w:rFonts w:hint="eastAsia"/>
        </w:rPr>
        <w:t>（</w:t>
      </w:r>
      <w:r>
        <w:rPr>
          <w:rFonts w:hint="eastAsia"/>
          <w:lang w:val="en-US" w:eastAsia="zh-CN"/>
        </w:rPr>
        <w:t>5</w:t>
      </w:r>
      <w:r>
        <w:rPr>
          <w:rFonts w:hint="eastAsia"/>
        </w:rPr>
        <w:t>）安全管理：统筹开展项目网络安全、数据安全与实施安全监督检查，落实全流程安全管控要求；</w:t>
      </w:r>
    </w:p>
    <w:p>
      <w:pPr>
        <w:spacing w:line="600" w:lineRule="exact"/>
        <w:ind w:firstLine="640" w:firstLineChars="200"/>
        <w:jc w:val="left"/>
        <w:rPr>
          <w:rFonts w:hint="eastAsia"/>
        </w:rPr>
      </w:pPr>
      <w:r>
        <w:rPr>
          <w:rFonts w:hint="eastAsia"/>
        </w:rPr>
        <w:t>（</w:t>
      </w:r>
      <w:r>
        <w:rPr>
          <w:rFonts w:hint="eastAsia"/>
          <w:lang w:val="en-US" w:eastAsia="zh-CN"/>
        </w:rPr>
        <w:t>6</w:t>
      </w:r>
      <w:r>
        <w:rPr>
          <w:rFonts w:hint="eastAsia"/>
        </w:rPr>
        <w:t>）知识产权管理：监督项目建设全过程知识产权合规性，防范各类知识产权风险；</w:t>
      </w:r>
    </w:p>
    <w:p>
      <w:pPr>
        <w:spacing w:line="600" w:lineRule="exact"/>
        <w:ind w:firstLine="640" w:firstLineChars="200"/>
        <w:jc w:val="left"/>
        <w:rPr>
          <w:rFonts w:hint="eastAsia"/>
        </w:rPr>
      </w:pPr>
      <w:r>
        <w:rPr>
          <w:rFonts w:hint="eastAsia"/>
        </w:rPr>
        <w:t>（</w:t>
      </w:r>
      <w:r>
        <w:rPr>
          <w:rFonts w:hint="eastAsia"/>
          <w:lang w:val="en-US" w:eastAsia="zh-CN"/>
        </w:rPr>
        <w:t>7</w:t>
      </w:r>
      <w:r>
        <w:rPr>
          <w:rFonts w:hint="eastAsia"/>
        </w:rPr>
        <w:t>）</w:t>
      </w:r>
      <w:r>
        <w:rPr>
          <w:rFonts w:hint="eastAsia"/>
          <w:szCs w:val="32"/>
        </w:rPr>
        <w:t>信息管理/项目文档</w:t>
      </w:r>
      <w:r>
        <w:rPr>
          <w:rFonts w:hint="eastAsia"/>
        </w:rPr>
        <w:t>管理：规范项目全周期技术文档的编制、审核、归档与移交，确保资料完整、真实、可追溯；</w:t>
      </w:r>
    </w:p>
    <w:p>
      <w:pPr>
        <w:spacing w:line="600" w:lineRule="exact"/>
        <w:ind w:firstLine="640" w:firstLineChars="200"/>
        <w:jc w:val="left"/>
        <w:rPr>
          <w:rFonts w:hint="eastAsia"/>
        </w:rPr>
      </w:pPr>
      <w:r>
        <w:rPr>
          <w:rFonts w:hint="eastAsia"/>
        </w:rPr>
        <w:t>（</w:t>
      </w:r>
      <w:r>
        <w:rPr>
          <w:rFonts w:hint="eastAsia"/>
          <w:lang w:val="en-US" w:eastAsia="zh-CN"/>
        </w:rPr>
        <w:t>8</w:t>
      </w:r>
      <w:r>
        <w:rPr>
          <w:rFonts w:hint="eastAsia"/>
        </w:rPr>
        <w:t>）项目验收与技术培训检查：协助组织各阶段验收工作，核查承建单位技术培训的落实情况与实施效果；</w:t>
      </w:r>
    </w:p>
    <w:p>
      <w:pPr>
        <w:spacing w:line="600" w:lineRule="exact"/>
        <w:ind w:firstLine="640" w:firstLineChars="200"/>
        <w:jc w:val="left"/>
        <w:rPr>
          <w:rFonts w:hint="eastAsia"/>
        </w:rPr>
      </w:pPr>
      <w:r>
        <w:rPr>
          <w:rFonts w:hint="eastAsia"/>
        </w:rPr>
        <w:t>（</w:t>
      </w:r>
      <w:r>
        <w:rPr>
          <w:rFonts w:hint="eastAsia"/>
          <w:lang w:val="en-US" w:eastAsia="zh-CN"/>
        </w:rPr>
        <w:t>9</w:t>
      </w:r>
      <w:r>
        <w:rPr>
          <w:rFonts w:hint="eastAsia"/>
        </w:rPr>
        <w:t>）项目审计协助：配合建设单位完成项目审计相关支撑工作；</w:t>
      </w:r>
    </w:p>
    <w:p>
      <w:pPr>
        <w:spacing w:line="600" w:lineRule="exact"/>
        <w:ind w:firstLine="640" w:firstLineChars="200"/>
        <w:jc w:val="left"/>
        <w:rPr>
          <w:rFonts w:hint="eastAsia"/>
        </w:rPr>
      </w:pPr>
      <w:r>
        <w:rPr>
          <w:rFonts w:hint="eastAsia"/>
        </w:rPr>
        <w:t>（1</w:t>
      </w:r>
      <w:r>
        <w:rPr>
          <w:rFonts w:hint="eastAsia"/>
          <w:lang w:val="en-US" w:eastAsia="zh-CN"/>
        </w:rPr>
        <w:t>0</w:t>
      </w:r>
      <w:r>
        <w:rPr>
          <w:rFonts w:hint="eastAsia"/>
        </w:rPr>
        <w:t>）参建各方协调：统筹协调各参建单位工作衔接，调处建设过程中的各类争议与问题；</w:t>
      </w:r>
    </w:p>
    <w:p>
      <w:pPr>
        <w:spacing w:line="600" w:lineRule="exact"/>
        <w:ind w:firstLine="640" w:firstLineChars="200"/>
        <w:jc w:val="left"/>
        <w:rPr>
          <w:rFonts w:hint="eastAsia"/>
        </w:rPr>
      </w:pPr>
      <w:r>
        <w:rPr>
          <w:rFonts w:hint="eastAsia"/>
        </w:rPr>
        <w:t>（1</w:t>
      </w:r>
      <w:r>
        <w:rPr>
          <w:rFonts w:hint="eastAsia"/>
          <w:lang w:val="en-US" w:eastAsia="zh-CN"/>
        </w:rPr>
        <w:t>1</w:t>
      </w:r>
      <w:r>
        <w:rPr>
          <w:rFonts w:hint="eastAsia"/>
        </w:rPr>
        <w:t>）质保期售后服务监督：监督承建单位落实质保期内售后服务、技术保障与问题整改，保障系统持续稳定运行。</w:t>
      </w:r>
    </w:p>
    <w:p>
      <w:pPr>
        <w:spacing w:line="600" w:lineRule="exact"/>
        <w:ind w:firstLine="640" w:firstLineChars="200"/>
        <w:jc w:val="left"/>
      </w:pPr>
      <w:r>
        <w:rPr>
          <w:rFonts w:hint="eastAsia"/>
        </w:rPr>
        <w:t>监理工作贯穿项目建设全周期，各阶段严格对标建设目标履职尽责，督促承建单位按时保质完成全部建设任务。</w:t>
      </w:r>
    </w:p>
    <w:bookmarkEnd w:id="2"/>
    <w:bookmarkEnd w:id="3"/>
    <w:p>
      <w:pPr>
        <w:snapToGrid w:val="0"/>
        <w:spacing w:line="600" w:lineRule="exact"/>
        <w:ind w:firstLine="640" w:firstLineChars="200"/>
        <w:jc w:val="left"/>
        <w:rPr>
          <w:rFonts w:hint="eastAsia" w:ascii="方正楷体_GBK" w:hAnsi="方正楷体_GBK" w:eastAsia="方正楷体_GBK" w:cs="方正楷体_GBK"/>
          <w:szCs w:val="32"/>
        </w:rPr>
      </w:pPr>
      <w:bookmarkStart w:id="4" w:name="_Toc372712434"/>
      <w:bookmarkStart w:id="5" w:name="_Toc375594466"/>
      <w:r>
        <w:rPr>
          <w:rFonts w:hint="eastAsia" w:ascii="方正楷体_GBK" w:hAnsi="方正楷体_GBK" w:eastAsia="方正楷体_GBK" w:cs="方正楷体_GBK"/>
          <w:szCs w:val="32"/>
        </w:rPr>
        <w:t>（四）人员及监理服务要求</w:t>
      </w:r>
    </w:p>
    <w:p>
      <w:pPr>
        <w:spacing w:line="600" w:lineRule="exact"/>
        <w:ind w:firstLine="640" w:firstLineChars="200"/>
        <w:jc w:val="left"/>
        <w:rPr>
          <w:szCs w:val="32"/>
        </w:rPr>
      </w:pPr>
      <w:r>
        <w:rPr>
          <w:szCs w:val="32"/>
        </w:rPr>
        <w:t>1.</w:t>
      </w:r>
      <w:r>
        <w:rPr>
          <w:rFonts w:hint="eastAsia"/>
          <w:szCs w:val="32"/>
        </w:rPr>
        <w:t>人员要求</w:t>
      </w:r>
    </w:p>
    <w:p>
      <w:pPr>
        <w:spacing w:line="600" w:lineRule="exact"/>
        <w:ind w:firstLine="640" w:firstLineChars="200"/>
        <w:jc w:val="left"/>
        <w:rPr>
          <w:color w:val="000000" w:themeColor="text1"/>
          <w14:textFill>
            <w14:solidFill>
              <w14:schemeClr w14:val="tx1"/>
            </w14:solidFill>
          </w14:textFill>
        </w:rPr>
      </w:pPr>
      <w:r>
        <w:rPr>
          <w:rFonts w:hint="eastAsia"/>
        </w:rPr>
        <w:t>（1）为保证项目顺利实施及良好的售后服务，确保实施中的信息安全，监理方须有较强的专业监理服务队伍，针对本项目需要组成不少于2人及以上专业监理团队。</w:t>
      </w:r>
      <w:r>
        <w:rPr>
          <w:rFonts w:hint="eastAsia"/>
          <w:color w:val="000000" w:themeColor="text1"/>
          <w14:textFill>
            <w14:solidFill>
              <w14:schemeClr w14:val="tx1"/>
            </w14:solidFill>
          </w14:textFill>
        </w:rPr>
        <w:t>其中包括至少1名总监理工程师、1名监理工程师。为保证人员稳定性，未经采购人同意不得随意更换；</w:t>
      </w:r>
    </w:p>
    <w:p>
      <w:pPr>
        <w:spacing w:line="600" w:lineRule="exact"/>
        <w:ind w:firstLine="64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（2）总监理工程师在项目建设过程中重要项目节点（如：系统联调、单项验收、初步验收、最终验收）必须到场；</w:t>
      </w:r>
    </w:p>
    <w:p>
      <w:pPr>
        <w:spacing w:line="600" w:lineRule="exact"/>
        <w:ind w:firstLine="640" w:firstLineChars="200"/>
        <w:jc w:val="left"/>
        <w:rPr>
          <w:rFonts w:hint="default" w:eastAsia="方正仿宋_GBK"/>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（3）为了保证监理团队的专业水平，拟投入本项目的总监理工程师：具备信息系统监理师（提供相关证书复印件），且为投标人在职员工（以投标人公司社保参保证明为准）。</w:t>
      </w:r>
    </w:p>
    <w:p>
      <w:pPr>
        <w:spacing w:line="600" w:lineRule="exact"/>
        <w:ind w:firstLine="640" w:firstLineChars="200"/>
        <w:jc w:val="left"/>
        <w:rPr>
          <w:szCs w:val="32"/>
        </w:rPr>
      </w:pPr>
      <w:r>
        <w:rPr>
          <w:rFonts w:hint="eastAsia"/>
          <w:szCs w:val="32"/>
        </w:rPr>
        <w:t>2</w:t>
      </w:r>
      <w:r>
        <w:rPr>
          <w:szCs w:val="32"/>
        </w:rPr>
        <w:t>.</w:t>
      </w:r>
      <w:r>
        <w:rPr>
          <w:rFonts w:hint="eastAsia"/>
          <w:szCs w:val="32"/>
        </w:rPr>
        <w:t>驻场要求</w:t>
      </w:r>
    </w:p>
    <w:p>
      <w:pPr>
        <w:spacing w:line="600" w:lineRule="exact"/>
        <w:ind w:firstLine="640" w:firstLineChars="200"/>
        <w:jc w:val="left"/>
        <w:rPr>
          <w:szCs w:val="32"/>
        </w:rPr>
      </w:pPr>
      <w:r>
        <w:rPr>
          <w:szCs w:val="32"/>
        </w:rPr>
        <w:t>为确保项目顺利实施，要求：</w:t>
      </w:r>
    </w:p>
    <w:p>
      <w:pPr>
        <w:spacing w:line="600" w:lineRule="exact"/>
        <w:ind w:firstLine="640" w:firstLineChars="200"/>
        <w:jc w:val="left"/>
        <w:rPr>
          <w:szCs w:val="32"/>
        </w:rPr>
      </w:pPr>
      <w:r>
        <w:rPr>
          <w:szCs w:val="32"/>
        </w:rPr>
        <w:t>（1）</w:t>
      </w:r>
      <w:r>
        <w:rPr>
          <w:rFonts w:hint="eastAsia"/>
          <w:szCs w:val="32"/>
        </w:rPr>
        <w:t>投标人</w:t>
      </w:r>
      <w:r>
        <w:rPr>
          <w:szCs w:val="32"/>
        </w:rPr>
        <w:t>必须承诺合同签订后监理服务团队人员不变并保证到场工作；</w:t>
      </w:r>
    </w:p>
    <w:p>
      <w:pPr>
        <w:spacing w:line="600" w:lineRule="exact"/>
        <w:ind w:firstLine="640" w:firstLineChars="200"/>
        <w:jc w:val="left"/>
        <w:rPr>
          <w:szCs w:val="32"/>
        </w:rPr>
      </w:pPr>
      <w:r>
        <w:rPr>
          <w:szCs w:val="32"/>
        </w:rPr>
        <w:t>（2）在整个监理过程中，项目监理人员根据采购人要求随时到场工作；</w:t>
      </w:r>
    </w:p>
    <w:p>
      <w:pPr>
        <w:spacing w:line="600" w:lineRule="exact"/>
        <w:ind w:firstLine="640" w:firstLineChars="200"/>
        <w:jc w:val="left"/>
        <w:rPr>
          <w:szCs w:val="32"/>
        </w:rPr>
      </w:pPr>
      <w:r>
        <w:rPr>
          <w:szCs w:val="32"/>
        </w:rPr>
        <w:t>（3）未经采购人书面同意，监理单位调换总监理工程师者，扣款2000元；</w:t>
      </w:r>
    </w:p>
    <w:p>
      <w:pPr>
        <w:spacing w:line="600" w:lineRule="exact"/>
        <w:ind w:firstLine="640" w:firstLineChars="200"/>
        <w:jc w:val="left"/>
        <w:rPr>
          <w:szCs w:val="32"/>
        </w:rPr>
      </w:pPr>
      <w:r>
        <w:rPr>
          <w:szCs w:val="32"/>
        </w:rPr>
        <w:t>（4）未经采购人书面同意，监理单位调换其他监理人员每人次扣款500元。</w:t>
      </w:r>
    </w:p>
    <w:p>
      <w:pPr>
        <w:spacing w:line="600" w:lineRule="exact"/>
        <w:ind w:firstLine="640" w:firstLineChars="200"/>
        <w:jc w:val="left"/>
        <w:rPr>
          <w:szCs w:val="32"/>
        </w:rPr>
      </w:pPr>
      <w:r>
        <w:rPr>
          <w:szCs w:val="32"/>
        </w:rPr>
        <w:t>（5）监理工作人员在采购人单位工作时，应遵守采购人相关规章和制度；</w:t>
      </w:r>
    </w:p>
    <w:p>
      <w:pPr>
        <w:spacing w:line="600" w:lineRule="exact"/>
        <w:ind w:firstLine="640" w:firstLineChars="200"/>
        <w:jc w:val="left"/>
        <w:rPr>
          <w:szCs w:val="32"/>
        </w:rPr>
      </w:pPr>
      <w:r>
        <w:rPr>
          <w:szCs w:val="32"/>
        </w:rPr>
        <w:t>（6）如经采购人及第三方查实，监理单位及监理人员与被监理单位发生非正常经济往来及其他徇私舞弊情况，采购人有权要求更换监理人员或更换全体监理项目班子，情况严重的，采购人有权终止合同；</w:t>
      </w:r>
    </w:p>
    <w:p>
      <w:pPr>
        <w:spacing w:line="600" w:lineRule="exact"/>
        <w:ind w:firstLine="640" w:firstLineChars="200"/>
        <w:jc w:val="left"/>
      </w:pPr>
      <w:r>
        <w:rPr>
          <w:szCs w:val="32"/>
        </w:rPr>
        <w:t>（7）本项目总监及监理人员应与中标确定的人员相一致，如监理人因特殊原因在监理过程中更换项目总监及监理人员的必须向采购人正式提交书面申请并获得采购人同意，更换的人员应具备相应资质。</w:t>
      </w:r>
    </w:p>
    <w:p>
      <w:pPr>
        <w:spacing w:line="600" w:lineRule="exact"/>
        <w:ind w:firstLine="640" w:firstLineChars="200"/>
        <w:jc w:val="left"/>
        <w:rPr>
          <w:szCs w:val="32"/>
        </w:rPr>
      </w:pPr>
      <w:r>
        <w:rPr>
          <w:rFonts w:hint="eastAsia"/>
          <w:szCs w:val="32"/>
        </w:rPr>
        <w:t>3</w:t>
      </w:r>
      <w:r>
        <w:rPr>
          <w:szCs w:val="32"/>
        </w:rPr>
        <w:t>.</w:t>
      </w:r>
      <w:r>
        <w:rPr>
          <w:rFonts w:hint="eastAsia"/>
          <w:szCs w:val="32"/>
        </w:rPr>
        <w:t>项目</w:t>
      </w:r>
      <w:r>
        <w:rPr>
          <w:szCs w:val="32"/>
        </w:rPr>
        <w:t>质量控制</w:t>
      </w:r>
      <w:r>
        <w:rPr>
          <w:rFonts w:hint="eastAsia"/>
          <w:szCs w:val="32"/>
        </w:rPr>
        <w:t>要求</w:t>
      </w:r>
    </w:p>
    <w:p>
      <w:pPr>
        <w:spacing w:line="600" w:lineRule="exact"/>
        <w:ind w:firstLine="640" w:firstLineChars="200"/>
        <w:jc w:val="left"/>
      </w:pPr>
      <w:r>
        <w:t>（1）审查承建单位提交的</w:t>
      </w:r>
      <w:r>
        <w:rPr>
          <w:rFonts w:hint="eastAsia"/>
        </w:rPr>
        <w:t>项目</w:t>
      </w:r>
      <w:r>
        <w:rPr>
          <w:rFonts w:hint="eastAsia" w:ascii="方正仿宋_GBK" w:hAnsi="方正仿宋_GBK" w:cs="方正仿宋_GBK"/>
          <w:szCs w:val="32"/>
        </w:rPr>
        <w:t>总体建设</w:t>
      </w:r>
      <w:r>
        <w:t>实施</w:t>
      </w:r>
      <w:r>
        <w:rPr>
          <w:rFonts w:hint="eastAsia" w:ascii="方正仿宋_GBK" w:hAnsi="方正仿宋_GBK" w:cs="方正仿宋_GBK"/>
          <w:szCs w:val="32"/>
        </w:rPr>
        <w:t>方案</w:t>
      </w:r>
      <w:r>
        <w:t>的合理性、可操作性，出具专业监理意见；</w:t>
      </w:r>
    </w:p>
    <w:p>
      <w:pPr>
        <w:spacing w:line="600" w:lineRule="exact"/>
        <w:ind w:firstLine="640" w:firstLineChars="200"/>
        <w:jc w:val="left"/>
      </w:pPr>
      <w:r>
        <w:t>（2）审查承建单位提交的阶段性测试验收方案，核查方案完整性、合规性；</w:t>
      </w:r>
    </w:p>
    <w:p>
      <w:pPr>
        <w:spacing w:line="600" w:lineRule="exact"/>
        <w:ind w:firstLine="640" w:firstLineChars="200"/>
        <w:jc w:val="left"/>
      </w:pPr>
      <w:r>
        <w:t>（3）审核承建单位提交的质量管理计划申报表，核查无误后签署监理意见；</w:t>
      </w:r>
    </w:p>
    <w:p>
      <w:pPr>
        <w:spacing w:line="600" w:lineRule="exact"/>
        <w:ind w:firstLine="640" w:firstLineChars="200"/>
        <w:jc w:val="left"/>
      </w:pPr>
      <w:r>
        <w:t>（4）对承建单位提供的项目产品及服务开展验收核查，针对验收结果出具监理意见；</w:t>
      </w:r>
    </w:p>
    <w:p>
      <w:pPr>
        <w:spacing w:line="600" w:lineRule="exact"/>
        <w:ind w:firstLine="640" w:firstLineChars="200"/>
        <w:jc w:val="left"/>
      </w:pPr>
      <w:r>
        <w:t>（5）核查承建单位现场实施状况、派驻人员配置与实施方案要求的一致性，杜绝违规施工、人员不符等问题；</w:t>
      </w:r>
    </w:p>
    <w:p>
      <w:pPr>
        <w:spacing w:line="600" w:lineRule="exact"/>
        <w:ind w:firstLine="640" w:firstLineChars="200"/>
        <w:jc w:val="left"/>
      </w:pPr>
      <w:r>
        <w:t>（6）受理承建单位提交的项目关键环节实施申请，审核合理性、合规性，签认后报采购人审批；</w:t>
      </w:r>
    </w:p>
    <w:p>
      <w:pPr>
        <w:spacing w:line="600" w:lineRule="exact"/>
        <w:ind w:firstLine="640" w:firstLineChars="200"/>
        <w:jc w:val="left"/>
      </w:pPr>
      <w:r>
        <w:t>（7）核查承建单位各施工、开发、调试工作步骤的衔接情况，保障项目实施连贯有序；</w:t>
      </w:r>
    </w:p>
    <w:p>
      <w:pPr>
        <w:spacing w:line="600" w:lineRule="exact"/>
        <w:ind w:firstLine="640" w:firstLineChars="200"/>
        <w:jc w:val="left"/>
      </w:pPr>
      <w:r>
        <w:t>（8）严格审核工程变更申请，评估变更对项目质量、整体建设目标的影响，保障项目整体建设不受负面干扰；</w:t>
      </w:r>
    </w:p>
    <w:p>
      <w:pPr>
        <w:spacing w:line="600" w:lineRule="exact"/>
        <w:ind w:firstLine="640" w:firstLineChars="200"/>
        <w:jc w:val="left"/>
      </w:pPr>
      <w:r>
        <w:t>（9）妥善处置项目实施过程中出现的各类质量事故，核查事故原因、处置方案，全程监督整改落实；</w:t>
      </w:r>
    </w:p>
    <w:p>
      <w:pPr>
        <w:spacing w:line="600" w:lineRule="exact"/>
        <w:ind w:firstLine="640" w:firstLineChars="200"/>
        <w:jc w:val="left"/>
      </w:pPr>
      <w:r>
        <w:t>（10）项目实施过程中，若发现重大质量隐患，监理单位需第一时间向采购人出具停工建议，经采购人确认后，由采购人签发停工令，同步告知承建单位整改；</w:t>
      </w:r>
    </w:p>
    <w:p>
      <w:pPr>
        <w:spacing w:line="600" w:lineRule="exact"/>
        <w:ind w:firstLine="640" w:firstLineChars="200"/>
        <w:jc w:val="left"/>
      </w:pPr>
      <w:r>
        <w:t>（11）受理承建单位提交的各阶段验收申请，核查项目验收必备条件是否达标，核查无误后签认并报采购人终审；</w:t>
      </w:r>
    </w:p>
    <w:p>
      <w:pPr>
        <w:spacing w:line="600" w:lineRule="exact"/>
        <w:ind w:firstLine="640" w:firstLineChars="200"/>
        <w:jc w:val="left"/>
      </w:pPr>
      <w:r>
        <w:t>（12）协助采购人审核承建单位验收计划及方案，明确验收目标、各方责任、验收内容、验收标准、验收方式和验收结果，审核完成后签署监理意见；</w:t>
      </w:r>
    </w:p>
    <w:p>
      <w:pPr>
        <w:spacing w:line="600" w:lineRule="exact"/>
        <w:ind w:firstLine="640" w:firstLineChars="200"/>
        <w:jc w:val="left"/>
      </w:pPr>
      <w:r>
        <w:t>（13）协助采购人对验收阶段发现的质量问题进行风险评估，明确整改标准、整改要求、二次验收方式；</w:t>
      </w:r>
    </w:p>
    <w:p>
      <w:pPr>
        <w:spacing w:line="600" w:lineRule="exact"/>
        <w:ind w:firstLine="640" w:firstLineChars="200"/>
        <w:jc w:val="left"/>
      </w:pPr>
      <w:r>
        <w:t>（14）督促承建单位依据整改要求制定专项整改方案，全程跟踪、监督整改落地全过程，确保问题闭环；</w:t>
      </w:r>
    </w:p>
    <w:p>
      <w:pPr>
        <w:spacing w:line="600" w:lineRule="exact"/>
        <w:ind w:firstLine="640" w:firstLineChars="200"/>
        <w:jc w:val="left"/>
      </w:pPr>
      <w:r>
        <w:t>（15）监督承建单位严格落实项目实施方案中的培训计划，核查培训内容、培训流程、培训效果，出具培训评估意见。</w:t>
      </w:r>
    </w:p>
    <w:p>
      <w:pPr>
        <w:spacing w:line="600" w:lineRule="exact"/>
        <w:ind w:firstLine="640" w:firstLineChars="200"/>
        <w:jc w:val="left"/>
        <w:rPr>
          <w:szCs w:val="32"/>
        </w:rPr>
      </w:pPr>
      <w:r>
        <w:rPr>
          <w:rFonts w:hint="eastAsia"/>
          <w:szCs w:val="32"/>
        </w:rPr>
        <w:t>4.项目进度控制要求</w:t>
      </w:r>
    </w:p>
    <w:p>
      <w:pPr>
        <w:spacing w:line="600" w:lineRule="exact"/>
        <w:ind w:firstLine="640" w:firstLineChars="200"/>
        <w:jc w:val="left"/>
        <w:rPr>
          <w:rFonts w:hint="eastAsia" w:ascii="方正仿宋_GBK" w:hAnsi="方正仿宋_GBK" w:cs="方正仿宋_GBK"/>
        </w:rPr>
      </w:pPr>
      <w:r>
        <w:t>（</w:t>
      </w:r>
      <w:r>
        <w:rPr>
          <w:rFonts w:hint="eastAsia"/>
        </w:rPr>
        <w:t>1</w:t>
      </w:r>
      <w:r>
        <w:t>）</w:t>
      </w:r>
      <w:r>
        <w:rPr>
          <w:rFonts w:hint="eastAsia" w:ascii="方正仿宋_GBK" w:hAnsi="方正仿宋_GBK" w:cs="方正仿宋_GBK"/>
        </w:rPr>
        <w:t>审查承建单位提交的阶段性进度计划，结合本项目信息化建设特点，核查计划合理性、可行性，出具监理意见及优化建议；</w:t>
      </w:r>
    </w:p>
    <w:p>
      <w:pPr>
        <w:spacing w:line="600" w:lineRule="exact"/>
        <w:ind w:firstLine="640" w:firstLineChars="200"/>
        <w:jc w:val="left"/>
        <w:rPr>
          <w:rFonts w:hint="eastAsia" w:ascii="方正仿宋_GBK" w:hAnsi="方正仿宋_GBK" w:cs="方正仿宋_GBK"/>
        </w:rPr>
      </w:pPr>
      <w:r>
        <w:t>（</w:t>
      </w:r>
      <w:r>
        <w:rPr>
          <w:rFonts w:hint="eastAsia"/>
        </w:rPr>
        <w:t>2</w:t>
      </w:r>
      <w:r>
        <w:t>）</w:t>
      </w:r>
      <w:r>
        <w:rPr>
          <w:rFonts w:hint="eastAsia" w:ascii="方正仿宋_GBK" w:hAnsi="方正仿宋_GBK" w:cs="方正仿宋_GBK"/>
        </w:rPr>
        <w:t>依据承建单位报审的阶段进度计划，制定适配本项目的进度监督、管控措施及核查方法；</w:t>
      </w:r>
    </w:p>
    <w:p>
      <w:pPr>
        <w:spacing w:line="600" w:lineRule="exact"/>
        <w:ind w:firstLine="640" w:firstLineChars="200"/>
        <w:jc w:val="left"/>
        <w:rPr>
          <w:rFonts w:hint="eastAsia" w:ascii="方正仿宋_GBK" w:hAnsi="方正仿宋_GBK" w:cs="方正仿宋_GBK"/>
        </w:rPr>
      </w:pPr>
      <w:r>
        <w:t>（</w:t>
      </w:r>
      <w:r>
        <w:rPr>
          <w:rFonts w:hint="eastAsia"/>
        </w:rPr>
        <w:t>3</w:t>
      </w:r>
      <w:r>
        <w:t>）</w:t>
      </w:r>
      <w:r>
        <w:rPr>
          <w:rFonts w:hint="eastAsia" w:ascii="方正仿宋_GBK" w:hAnsi="方正仿宋_GBK" w:cs="方正仿宋_GBK"/>
        </w:rPr>
        <w:t>定期开展项目进度巡检，对比实际施工进度与计划进度的偏差，及时受理、审核工程延期申请，明确延期原因及责任；</w:t>
      </w:r>
    </w:p>
    <w:p>
      <w:pPr>
        <w:spacing w:line="600" w:lineRule="exact"/>
        <w:ind w:firstLine="640" w:firstLineChars="200"/>
        <w:jc w:val="left"/>
        <w:rPr>
          <w:rFonts w:hint="eastAsia" w:ascii="方正仿宋_GBK" w:hAnsi="方正仿宋_GBK" w:cs="方正仿宋_GBK"/>
        </w:rPr>
      </w:pPr>
      <w:r>
        <w:t>（</w:t>
      </w:r>
      <w:r>
        <w:rPr>
          <w:rFonts w:hint="eastAsia"/>
        </w:rPr>
        <w:t>4</w:t>
      </w:r>
      <w:r>
        <w:t>）</w:t>
      </w:r>
      <w:r>
        <w:rPr>
          <w:rFonts w:hint="eastAsia" w:ascii="方正仿宋_GBK" w:hAnsi="方正仿宋_GBK" w:cs="方正仿宋_GBK"/>
        </w:rPr>
        <w:t>核查承建单位进度纠偏措施的合理性、可行性，出具监理通知单报送采购人，并全程监督承建单位落实纠偏措施，确保进度回归计划；</w:t>
      </w:r>
    </w:p>
    <w:p>
      <w:pPr>
        <w:spacing w:line="600" w:lineRule="exact"/>
        <w:ind w:firstLine="640" w:firstLineChars="200"/>
        <w:jc w:val="left"/>
        <w:rPr>
          <w:rFonts w:hint="eastAsia" w:ascii="方正仿宋_GBK" w:hAnsi="方正仿宋_GBK" w:cs="方正仿宋_GBK"/>
        </w:rPr>
      </w:pPr>
      <w:r>
        <w:t>（</w:t>
      </w:r>
      <w:r>
        <w:rPr>
          <w:rFonts w:hint="eastAsia"/>
        </w:rPr>
        <w:t>5</w:t>
      </w:r>
      <w:r>
        <w:t>）</w:t>
      </w:r>
      <w:r>
        <w:rPr>
          <w:rFonts w:hint="eastAsia" w:ascii="方正仿宋_GBK" w:hAnsi="方正仿宋_GBK" w:cs="方正仿宋_GBK"/>
        </w:rPr>
        <w:t>针对项目验收阶段进度安排开展审核，提出合理化监理意见；</w:t>
      </w:r>
    </w:p>
    <w:p>
      <w:pPr>
        <w:spacing w:line="600" w:lineRule="exact"/>
        <w:ind w:firstLine="640" w:firstLineChars="200"/>
        <w:jc w:val="left"/>
        <w:rPr>
          <w:rFonts w:hint="eastAsia" w:ascii="方正仿宋_GBK" w:hAnsi="方正仿宋_GBK" w:cs="方正仿宋_GBK"/>
        </w:rPr>
      </w:pPr>
      <w:r>
        <w:t>（</w:t>
      </w:r>
      <w:r>
        <w:rPr>
          <w:rFonts w:hint="eastAsia"/>
        </w:rPr>
        <w:t>6</w:t>
      </w:r>
      <w:r>
        <w:t>）</w:t>
      </w:r>
      <w:r>
        <w:rPr>
          <w:rFonts w:hint="eastAsia" w:ascii="方正仿宋_GBK" w:hAnsi="方正仿宋_GBK" w:cs="方正仿宋_GBK"/>
        </w:rPr>
        <w:t>审核承建单位提交的验收计划、工程整改进度计划，核查可行性与合规性。</w:t>
      </w:r>
    </w:p>
    <w:p>
      <w:pPr>
        <w:spacing w:line="600" w:lineRule="exact"/>
        <w:ind w:firstLine="640" w:firstLineChars="200"/>
        <w:jc w:val="left"/>
        <w:rPr>
          <w:szCs w:val="32"/>
        </w:rPr>
      </w:pPr>
      <w:r>
        <w:rPr>
          <w:rFonts w:hint="eastAsia"/>
          <w:szCs w:val="32"/>
        </w:rPr>
        <w:t>5.项目投资控制要求</w:t>
      </w:r>
    </w:p>
    <w:p>
      <w:pPr>
        <w:spacing w:line="600" w:lineRule="exact"/>
        <w:ind w:firstLine="640" w:firstLineChars="200"/>
        <w:jc w:val="left"/>
        <w:rPr>
          <w:rFonts w:hint="eastAsia" w:ascii="方正仿宋_GBK" w:hAnsi="方正仿宋_GBK" w:cs="方正仿宋_GBK"/>
        </w:rPr>
      </w:pPr>
      <w:r>
        <w:t>（</w:t>
      </w:r>
      <w:r>
        <w:rPr>
          <w:rFonts w:hint="eastAsia"/>
        </w:rPr>
        <w:t>1</w:t>
      </w:r>
      <w:r>
        <w:t>）</w:t>
      </w:r>
      <w:r>
        <w:rPr>
          <w:rFonts w:hint="eastAsia" w:ascii="方正仿宋_GBK" w:hAnsi="方正仿宋_GBK" w:cs="方正仿宋_GBK"/>
        </w:rPr>
        <w:t>依据采购文件、响应文件及项目承建合同，审核项目建设计划、设计方案中的建设目标、范围、内容、产品及服务标准，预判投资变动风险，出具监理意见；</w:t>
      </w:r>
    </w:p>
    <w:p>
      <w:pPr>
        <w:spacing w:line="600" w:lineRule="exact"/>
        <w:ind w:firstLine="640" w:firstLineChars="200"/>
        <w:jc w:val="left"/>
        <w:rPr>
          <w:rFonts w:hint="eastAsia" w:ascii="方正仿宋_GBK" w:hAnsi="方正仿宋_GBK" w:cs="方正仿宋_GBK"/>
        </w:rPr>
      </w:pPr>
      <w:r>
        <w:t>（</w:t>
      </w:r>
      <w:r>
        <w:rPr>
          <w:rFonts w:hint="eastAsia"/>
        </w:rPr>
        <w:t>2</w:t>
      </w:r>
      <w:r>
        <w:t>）</w:t>
      </w:r>
      <w:r>
        <w:rPr>
          <w:rFonts w:hint="eastAsia" w:ascii="方正仿宋_GBK" w:hAnsi="方正仿宋_GBK" w:cs="方正仿宋_GBK"/>
        </w:rPr>
        <w:t>审核承建单位提交的项目阶段性工作报告及进度款支付申请，核查施工完成量、质量达标情况，出具进度款支付监理审核意见，报采购人签认；</w:t>
      </w:r>
    </w:p>
    <w:p>
      <w:pPr>
        <w:spacing w:line="600" w:lineRule="exact"/>
        <w:ind w:firstLine="640" w:firstLineChars="200"/>
        <w:jc w:val="left"/>
        <w:rPr>
          <w:rFonts w:hint="eastAsia" w:ascii="方正仿宋_GBK" w:hAnsi="方正仿宋_GBK" w:cs="方正仿宋_GBK"/>
        </w:rPr>
      </w:pPr>
      <w:r>
        <w:t>（</w:t>
      </w:r>
      <w:r>
        <w:rPr>
          <w:rFonts w:hint="eastAsia"/>
        </w:rPr>
        <w:t>3</w:t>
      </w:r>
      <w:r>
        <w:t>）</w:t>
      </w:r>
      <w:r>
        <w:rPr>
          <w:rFonts w:hint="eastAsia" w:ascii="方正仿宋_GBK" w:hAnsi="方正仿宋_GBK" w:cs="方正仿宋_GBK"/>
        </w:rPr>
        <w:t>全面核查项目质量、进度、投资相关变更事项，详实记录并形成工程备忘录；</w:t>
      </w:r>
    </w:p>
    <w:p>
      <w:pPr>
        <w:spacing w:line="600" w:lineRule="exact"/>
        <w:ind w:firstLine="640" w:firstLineChars="200"/>
        <w:jc w:val="left"/>
        <w:rPr>
          <w:rFonts w:hint="eastAsia" w:ascii="方正仿宋_GBK" w:hAnsi="方正仿宋_GBK" w:cs="方正仿宋_GBK"/>
        </w:rPr>
      </w:pPr>
      <w:r>
        <w:t>（</w:t>
      </w:r>
      <w:r>
        <w:rPr>
          <w:rFonts w:hint="eastAsia"/>
        </w:rPr>
        <w:t>4</w:t>
      </w:r>
      <w:r>
        <w:t>）</w:t>
      </w:r>
      <w:r>
        <w:rPr>
          <w:rFonts w:hint="eastAsia" w:ascii="方正仿宋_GBK" w:hAnsi="方正仿宋_GBK" w:cs="方正仿宋_GBK"/>
        </w:rPr>
        <w:t>受理项目实施过程中的各类索赔申请，开展调查核实、责任判定，出具专业监理意见；</w:t>
      </w:r>
    </w:p>
    <w:p>
      <w:pPr>
        <w:spacing w:line="600" w:lineRule="exact"/>
        <w:ind w:firstLine="640" w:firstLineChars="200"/>
        <w:jc w:val="left"/>
        <w:rPr>
          <w:rFonts w:hint="eastAsia" w:ascii="方正仿宋_GBK" w:hAnsi="方正仿宋_GBK" w:cs="方正仿宋_GBK"/>
        </w:rPr>
      </w:pPr>
      <w:r>
        <w:t>（</w:t>
      </w:r>
      <w:r>
        <w:rPr>
          <w:rFonts w:hint="eastAsia"/>
        </w:rPr>
        <w:t>5</w:t>
      </w:r>
      <w:r>
        <w:t>）</w:t>
      </w:r>
      <w:r>
        <w:rPr>
          <w:rFonts w:hint="eastAsia" w:ascii="方正仿宋_GBK" w:hAnsi="方正仿宋_GBK" w:cs="方正仿宋_GBK"/>
        </w:rPr>
        <w:t>协助采购人整理项目结算资料，复核项目建设投资情况，配合完成项目结算工作。</w:t>
      </w:r>
    </w:p>
    <w:p>
      <w:pPr>
        <w:spacing w:line="600" w:lineRule="exact"/>
        <w:ind w:firstLine="640" w:firstLineChars="200"/>
        <w:jc w:val="left"/>
        <w:rPr>
          <w:szCs w:val="32"/>
        </w:rPr>
      </w:pPr>
      <w:r>
        <w:rPr>
          <w:rFonts w:hint="eastAsia"/>
          <w:szCs w:val="32"/>
        </w:rPr>
        <w:t>6.项目变更控制要求</w:t>
      </w:r>
    </w:p>
    <w:p>
      <w:pPr>
        <w:spacing w:line="600" w:lineRule="exact"/>
        <w:ind w:firstLine="640" w:firstLineChars="200"/>
        <w:jc w:val="left"/>
        <w:rPr>
          <w:rFonts w:hint="eastAsia" w:ascii="方正仿宋_GBK" w:hAnsi="方正仿宋_GBK" w:cs="方正仿宋_GBK"/>
        </w:rPr>
      </w:pPr>
      <w:r>
        <w:t>（</w:t>
      </w:r>
      <w:r>
        <w:rPr>
          <w:rFonts w:hint="eastAsia"/>
        </w:rPr>
        <w:t>1</w:t>
      </w:r>
      <w:r>
        <w:t>）</w:t>
      </w:r>
      <w:r>
        <w:rPr>
          <w:rFonts w:hint="eastAsia" w:ascii="方正仿宋_GBK" w:hAnsi="方正仿宋_GBK" w:cs="方正仿宋_GBK"/>
        </w:rPr>
        <w:t>严格管控项目设计及实施变更，所有变更须经采购人、监理单位、承建单位三方协商达成共识，全程留痕、完整存档；</w:t>
      </w:r>
    </w:p>
    <w:p>
      <w:pPr>
        <w:spacing w:line="600" w:lineRule="exact"/>
        <w:ind w:firstLine="640" w:firstLineChars="200"/>
        <w:jc w:val="left"/>
        <w:rPr>
          <w:rFonts w:hint="eastAsia" w:ascii="方正仿宋_GBK" w:hAnsi="方正仿宋_GBK" w:cs="方正仿宋_GBK"/>
        </w:rPr>
      </w:pPr>
      <w:r>
        <w:t>（</w:t>
      </w:r>
      <w:r>
        <w:rPr>
          <w:rFonts w:hint="eastAsia"/>
        </w:rPr>
        <w:t>2</w:t>
      </w:r>
      <w:r>
        <w:t>）</w:t>
      </w:r>
      <w:r>
        <w:rPr>
          <w:rFonts w:hint="eastAsia" w:ascii="方正仿宋_GBK" w:hAnsi="方正仿宋_GBK" w:cs="方正仿宋_GBK"/>
        </w:rPr>
        <w:t>及时受理采购人或承建单位提出的合同变更申请，协助梳理合同条款，保障合同、协议及附件内容的时效性、一致性；</w:t>
      </w:r>
    </w:p>
    <w:p>
      <w:pPr>
        <w:spacing w:line="600" w:lineRule="exact"/>
        <w:ind w:firstLine="640" w:firstLineChars="200"/>
        <w:jc w:val="left"/>
        <w:rPr>
          <w:rFonts w:hint="eastAsia" w:ascii="方正仿宋_GBK" w:hAnsi="方正仿宋_GBK" w:cs="方正仿宋_GBK"/>
        </w:rPr>
      </w:pPr>
      <w:r>
        <w:t>（</w:t>
      </w:r>
      <w:r>
        <w:rPr>
          <w:rFonts w:hint="eastAsia"/>
        </w:rPr>
        <w:t>3</w:t>
      </w:r>
      <w:r>
        <w:t>）</w:t>
      </w:r>
      <w:r>
        <w:rPr>
          <w:rFonts w:hint="eastAsia" w:ascii="方正仿宋_GBK" w:hAnsi="方正仿宋_GBK" w:cs="方正仿宋_GBK"/>
        </w:rPr>
        <w:t>全面审查项目变更申请内容，从必要性、合理性、经济性、可操作性多维度评估，出具监理意见及优化建议；</w:t>
      </w:r>
    </w:p>
    <w:p>
      <w:pPr>
        <w:spacing w:line="600" w:lineRule="exact"/>
        <w:ind w:firstLine="640" w:firstLineChars="200"/>
        <w:jc w:val="left"/>
        <w:rPr>
          <w:rFonts w:hint="eastAsia" w:ascii="方正仿宋_GBK" w:hAnsi="方正仿宋_GBK" w:cs="方正仿宋_GBK"/>
        </w:rPr>
      </w:pPr>
      <w:r>
        <w:t>（</w:t>
      </w:r>
      <w:r>
        <w:rPr>
          <w:rFonts w:hint="eastAsia"/>
        </w:rPr>
        <w:t>4</w:t>
      </w:r>
      <w:r>
        <w:t>）</w:t>
      </w:r>
      <w:r>
        <w:rPr>
          <w:rFonts w:hint="eastAsia" w:ascii="方正仿宋_GBK" w:hAnsi="方正仿宋_GBK" w:cs="方正仿宋_GBK"/>
        </w:rPr>
        <w:t>严格按照项目管理流程处置各类工程变更，规范变更报审、审批、落地全流程管理；</w:t>
      </w:r>
    </w:p>
    <w:p>
      <w:pPr>
        <w:spacing w:line="600" w:lineRule="exact"/>
        <w:ind w:firstLine="640" w:firstLineChars="200"/>
        <w:jc w:val="left"/>
        <w:rPr>
          <w:rFonts w:hint="eastAsia" w:ascii="方正仿宋_GBK" w:hAnsi="方正仿宋_GBK" w:cs="方正仿宋_GBK"/>
        </w:rPr>
      </w:pPr>
      <w:r>
        <w:t>（</w:t>
      </w:r>
      <w:r>
        <w:rPr>
          <w:rFonts w:hint="eastAsia"/>
        </w:rPr>
        <w:t>5</w:t>
      </w:r>
      <w:r>
        <w:t>）</w:t>
      </w:r>
      <w:r>
        <w:rPr>
          <w:rFonts w:hint="eastAsia" w:ascii="方正仿宋_GBK" w:hAnsi="方正仿宋_GBK" w:cs="方正仿宋_GBK"/>
        </w:rPr>
        <w:t>全程监督变更方案落地实施，核查变更执行效果，评估变更是否达到预期建设目标。</w:t>
      </w:r>
    </w:p>
    <w:p>
      <w:pPr>
        <w:spacing w:line="600" w:lineRule="exact"/>
        <w:ind w:firstLine="640" w:firstLineChars="200"/>
        <w:jc w:val="left"/>
        <w:rPr>
          <w:szCs w:val="32"/>
        </w:rPr>
      </w:pPr>
      <w:r>
        <w:rPr>
          <w:rFonts w:hint="eastAsia"/>
          <w:szCs w:val="32"/>
        </w:rPr>
        <w:t>7.合同管理要求</w:t>
      </w:r>
    </w:p>
    <w:p>
      <w:pPr>
        <w:spacing w:line="600" w:lineRule="exact"/>
        <w:ind w:firstLine="640" w:firstLineChars="200"/>
        <w:jc w:val="left"/>
        <w:rPr>
          <w:rFonts w:hint="eastAsia" w:ascii="方正仿宋_GBK" w:hAnsi="方正仿宋_GBK" w:cs="方正仿宋_GBK"/>
        </w:rPr>
      </w:pPr>
      <w:r>
        <w:t>（</w:t>
      </w:r>
      <w:r>
        <w:rPr>
          <w:rFonts w:hint="eastAsia"/>
        </w:rPr>
        <w:t>1</w:t>
      </w:r>
      <w:r>
        <w:t>）</w:t>
      </w:r>
      <w:r>
        <w:rPr>
          <w:rFonts w:hint="eastAsia" w:ascii="方正仿宋_GBK" w:hAnsi="方正仿宋_GBK" w:cs="方正仿宋_GBK"/>
        </w:rPr>
        <w:t>针对项目合同各类变更及时整理归档，形成正式项目备忘录；</w:t>
      </w:r>
    </w:p>
    <w:p>
      <w:pPr>
        <w:spacing w:line="600" w:lineRule="exact"/>
        <w:ind w:firstLine="640" w:firstLineChars="200"/>
        <w:jc w:val="left"/>
        <w:rPr>
          <w:rFonts w:hint="eastAsia" w:ascii="方正仿宋_GBK" w:hAnsi="方正仿宋_GBK" w:cs="方正仿宋_GBK"/>
        </w:rPr>
      </w:pPr>
      <w:r>
        <w:t>（</w:t>
      </w:r>
      <w:r>
        <w:rPr>
          <w:rFonts w:hint="eastAsia"/>
        </w:rPr>
        <w:t>2</w:t>
      </w:r>
      <w:r>
        <w:t>）</w:t>
      </w:r>
      <w:r>
        <w:rPr>
          <w:rFonts w:hint="eastAsia" w:ascii="方正仿宋_GBK" w:hAnsi="方正仿宋_GBK" w:cs="方正仿宋_GBK"/>
        </w:rPr>
        <w:t>对项目建设阶段参建各方参与的会议、施工、整改、协调等关键工作，做好记录并形成项目建设备忘录；</w:t>
      </w:r>
    </w:p>
    <w:p>
      <w:pPr>
        <w:spacing w:line="600" w:lineRule="exact"/>
        <w:ind w:firstLine="640" w:firstLineChars="200"/>
        <w:jc w:val="left"/>
        <w:rPr>
          <w:rFonts w:hint="eastAsia" w:ascii="方正仿宋_GBK" w:hAnsi="方正仿宋_GBK" w:cs="方正仿宋_GBK"/>
        </w:rPr>
      </w:pPr>
      <w:r>
        <w:t>（</w:t>
      </w:r>
      <w:r>
        <w:rPr>
          <w:rFonts w:hint="eastAsia"/>
        </w:rPr>
        <w:t>3</w:t>
      </w:r>
      <w:r>
        <w:t>）</w:t>
      </w:r>
      <w:r>
        <w:rPr>
          <w:rFonts w:hint="eastAsia" w:ascii="方正仿宋_GBK" w:hAnsi="方正仿宋_GBK" w:cs="方正仿宋_GBK"/>
        </w:rPr>
        <w:t>全程监督承建合同执行情况，定期编制监理报告，同步报送采购人及承建单位；</w:t>
      </w:r>
    </w:p>
    <w:p>
      <w:pPr>
        <w:spacing w:line="600" w:lineRule="exact"/>
        <w:ind w:firstLine="640" w:firstLineChars="200"/>
        <w:jc w:val="left"/>
        <w:rPr>
          <w:rFonts w:hint="eastAsia" w:ascii="方正仿宋_GBK" w:hAnsi="方正仿宋_GBK" w:cs="方正仿宋_GBK"/>
        </w:rPr>
      </w:pPr>
      <w:r>
        <w:t>（</w:t>
      </w:r>
      <w:r>
        <w:rPr>
          <w:rFonts w:hint="eastAsia"/>
        </w:rPr>
        <w:t>4</w:t>
      </w:r>
      <w:r>
        <w:t>）</w:t>
      </w:r>
      <w:r>
        <w:rPr>
          <w:rFonts w:hint="eastAsia" w:ascii="方正仿宋_GBK" w:hAnsi="方正仿宋_GBK" w:cs="方正仿宋_GBK"/>
        </w:rPr>
        <w:t>及时协调处置合同履约过程中的纠纷，公正调查、客观分析，出具监理协调意见；</w:t>
      </w:r>
    </w:p>
    <w:p>
      <w:pPr>
        <w:spacing w:line="600" w:lineRule="exact"/>
        <w:ind w:firstLine="640" w:firstLineChars="200"/>
        <w:jc w:val="left"/>
        <w:rPr>
          <w:rFonts w:hint="eastAsia" w:ascii="方正仿宋_GBK" w:hAnsi="方正仿宋_GBK" w:cs="方正仿宋_GBK"/>
        </w:rPr>
      </w:pPr>
      <w:r>
        <w:t>（</w:t>
      </w:r>
      <w:r>
        <w:rPr>
          <w:rFonts w:hint="eastAsia"/>
        </w:rPr>
        <w:t>5</w:t>
      </w:r>
      <w:r>
        <w:t>）</w:t>
      </w:r>
      <w:r>
        <w:rPr>
          <w:rFonts w:hint="eastAsia" w:ascii="方正仿宋_GBK" w:hAnsi="方正仿宋_GBK" w:cs="方正仿宋_GBK"/>
        </w:rPr>
        <w:t>定期向采购人、承建单位通报合同及变更条款的履约情况，针对履约偏差提出整改监理意见；</w:t>
      </w:r>
    </w:p>
    <w:p>
      <w:pPr>
        <w:spacing w:line="600" w:lineRule="exact"/>
        <w:ind w:firstLine="640" w:firstLineChars="200"/>
        <w:jc w:val="left"/>
        <w:rPr>
          <w:rFonts w:hint="eastAsia" w:ascii="方正仿宋_GBK" w:hAnsi="方正仿宋_GBK" w:cs="方正仿宋_GBK"/>
        </w:rPr>
      </w:pPr>
      <w:r>
        <w:t>（</w:t>
      </w:r>
      <w:r>
        <w:rPr>
          <w:rFonts w:hint="eastAsia"/>
        </w:rPr>
        <w:t>6</w:t>
      </w:r>
      <w:r>
        <w:t>）</w:t>
      </w:r>
      <w:r>
        <w:rPr>
          <w:rFonts w:hint="eastAsia" w:ascii="方正仿宋_GBK" w:hAnsi="方正仿宋_GBK" w:cs="方正仿宋_GBK"/>
        </w:rPr>
        <w:t>协助采购人和承建单位梳理、审核、签署项目相关补充协议，保障协议内容合规、贴合项目实际。</w:t>
      </w:r>
    </w:p>
    <w:p>
      <w:pPr>
        <w:spacing w:line="600" w:lineRule="exact"/>
        <w:ind w:firstLine="640" w:firstLineChars="200"/>
        <w:jc w:val="left"/>
        <w:rPr>
          <w:szCs w:val="32"/>
        </w:rPr>
      </w:pPr>
      <w:r>
        <w:rPr>
          <w:rFonts w:hint="eastAsia"/>
          <w:szCs w:val="32"/>
        </w:rPr>
        <w:t>8.信息管理/项目文档管理要求</w:t>
      </w:r>
    </w:p>
    <w:p>
      <w:pPr>
        <w:spacing w:line="600" w:lineRule="exact"/>
        <w:ind w:firstLine="640" w:firstLineChars="200"/>
        <w:jc w:val="left"/>
        <w:rPr>
          <w:rFonts w:hint="eastAsia" w:ascii="方正仿宋_GBK" w:hAnsi="方正仿宋_GBK" w:cs="方正仿宋_GBK"/>
        </w:rPr>
      </w:pPr>
      <w:r>
        <w:t>（</w:t>
      </w:r>
      <w:r>
        <w:rPr>
          <w:rFonts w:hint="eastAsia"/>
        </w:rPr>
        <w:t>1</w:t>
      </w:r>
      <w:r>
        <w:t>）</w:t>
      </w:r>
      <w:r>
        <w:rPr>
          <w:rFonts w:hint="eastAsia" w:ascii="方正仿宋_GBK" w:hAnsi="方正仿宋_GBK" w:cs="方正仿宋_GBK"/>
        </w:rPr>
        <w:t>协助采购人制定项目档案管理办法、文档管理制度，明确文档管理责任人员、管理标准及归档要求；</w:t>
      </w:r>
    </w:p>
    <w:p>
      <w:pPr>
        <w:spacing w:line="600" w:lineRule="exact"/>
        <w:ind w:firstLine="640" w:firstLineChars="200"/>
        <w:jc w:val="left"/>
        <w:rPr>
          <w:rFonts w:hint="eastAsia" w:ascii="方正仿宋_GBK" w:hAnsi="方正仿宋_GBK" w:cs="方正仿宋_GBK"/>
        </w:rPr>
      </w:pPr>
      <w:r>
        <w:t>（</w:t>
      </w:r>
      <w:r>
        <w:rPr>
          <w:rFonts w:hint="eastAsia"/>
        </w:rPr>
        <w:t>2</w:t>
      </w:r>
      <w:r>
        <w:t>）</w:t>
      </w:r>
      <w:r>
        <w:rPr>
          <w:rFonts w:hint="eastAsia" w:ascii="方正仿宋_GBK" w:hAnsi="方正仿宋_GBK" w:cs="方正仿宋_GBK"/>
        </w:rPr>
        <w:t>协助开展项目合同审核工作，明确项目信息安全、安全施工的标准与硬性要求；</w:t>
      </w:r>
    </w:p>
    <w:p>
      <w:pPr>
        <w:spacing w:line="600" w:lineRule="exact"/>
        <w:ind w:firstLine="640" w:firstLineChars="200"/>
        <w:jc w:val="left"/>
        <w:rPr>
          <w:rFonts w:hint="eastAsia" w:ascii="方正仿宋_GBK" w:hAnsi="方正仿宋_GBK" w:cs="方正仿宋_GBK"/>
        </w:rPr>
      </w:pPr>
      <w:r>
        <w:t>（</w:t>
      </w:r>
      <w:r>
        <w:rPr>
          <w:rFonts w:hint="eastAsia"/>
        </w:rPr>
        <w:t>3</w:t>
      </w:r>
      <w:r>
        <w:t>）</w:t>
      </w:r>
      <w:r>
        <w:rPr>
          <w:rFonts w:hint="eastAsia" w:ascii="方正仿宋_GBK" w:hAnsi="方正仿宋_GBK" w:cs="方正仿宋_GBK"/>
        </w:rPr>
        <w:t>督促承建单位建立完善的项目文档管理制度、安全施工管理制度，严格落实制度执行；</w:t>
      </w:r>
    </w:p>
    <w:p>
      <w:pPr>
        <w:spacing w:line="600" w:lineRule="exact"/>
        <w:ind w:firstLine="640" w:firstLineChars="200"/>
        <w:jc w:val="left"/>
        <w:rPr>
          <w:rFonts w:hint="eastAsia" w:ascii="方正仿宋_GBK" w:hAnsi="方正仿宋_GBK" w:cs="方正仿宋_GBK"/>
        </w:rPr>
      </w:pPr>
      <w:r>
        <w:t>（</w:t>
      </w:r>
      <w:r>
        <w:rPr>
          <w:rFonts w:hint="eastAsia"/>
        </w:rPr>
        <w:t>4</w:t>
      </w:r>
      <w:r>
        <w:t>）</w:t>
      </w:r>
      <w:r>
        <w:rPr>
          <w:rFonts w:hint="eastAsia" w:ascii="方正仿宋_GBK" w:hAnsi="方正仿宋_GBK" w:cs="方正仿宋_GBK"/>
        </w:rPr>
        <w:t>建议采购人与承建单位签订项目保密协议，监理全程督促落实；承建单位所有参与本项目建设的工作人员，必须与所属单位签订保密协议，严格遵守保密规定，严控人员接触范围，杜绝信息泄露；</w:t>
      </w:r>
    </w:p>
    <w:p>
      <w:pPr>
        <w:spacing w:line="600" w:lineRule="exact"/>
        <w:ind w:firstLine="640" w:firstLineChars="200"/>
        <w:jc w:val="left"/>
        <w:rPr>
          <w:rFonts w:hint="eastAsia" w:ascii="方正仿宋_GBK" w:hAnsi="方正仿宋_GBK" w:cs="方正仿宋_GBK"/>
        </w:rPr>
      </w:pPr>
      <w:r>
        <w:t>（</w:t>
      </w:r>
      <w:r>
        <w:rPr>
          <w:rFonts w:hint="eastAsia"/>
        </w:rPr>
        <w:t>5</w:t>
      </w:r>
      <w:r>
        <w:t>）</w:t>
      </w:r>
      <w:r>
        <w:rPr>
          <w:rFonts w:hint="eastAsia" w:ascii="方正仿宋_GBK" w:hAnsi="方正仿宋_GBK" w:cs="方正仿宋_GBK"/>
        </w:rPr>
        <w:t>规范管理项目实施阶段产生的各类监理资料，包含开工、停工、复工监理建议、监理通知单、监理周报、工程备忘录等，做到资料完整、真实、可追溯；</w:t>
      </w:r>
    </w:p>
    <w:p>
      <w:pPr>
        <w:spacing w:line="600" w:lineRule="exact"/>
        <w:ind w:firstLine="640" w:firstLineChars="200"/>
        <w:jc w:val="left"/>
        <w:rPr>
          <w:rFonts w:hint="eastAsia" w:ascii="方正仿宋_GBK" w:hAnsi="方正仿宋_GBK" w:cs="方正仿宋_GBK"/>
        </w:rPr>
      </w:pPr>
      <w:r>
        <w:t>（</w:t>
      </w:r>
      <w:r>
        <w:rPr>
          <w:rFonts w:hint="eastAsia"/>
        </w:rPr>
        <w:t>6</w:t>
      </w:r>
      <w:r>
        <w:t>）</w:t>
      </w:r>
      <w:r>
        <w:rPr>
          <w:rFonts w:hint="eastAsia" w:ascii="方正仿宋_GBK" w:hAnsi="方正仿宋_GBK" w:cs="方正仿宋_GBK"/>
        </w:rPr>
        <w:t>监督采购人、承建单位严格按照既定标准编制、管理、留存项目工程文档；</w:t>
      </w:r>
    </w:p>
    <w:p>
      <w:pPr>
        <w:spacing w:line="600" w:lineRule="exact"/>
        <w:ind w:firstLine="640" w:firstLineChars="200"/>
        <w:jc w:val="left"/>
        <w:rPr>
          <w:rFonts w:hint="eastAsia" w:ascii="方正仿宋_GBK" w:hAnsi="方正仿宋_GBK" w:cs="方正仿宋_GBK"/>
        </w:rPr>
      </w:pPr>
      <w:r>
        <w:t>（</w:t>
      </w:r>
      <w:r>
        <w:rPr>
          <w:rFonts w:hint="eastAsia"/>
        </w:rPr>
        <w:t>7</w:t>
      </w:r>
      <w:r>
        <w:t>）</w:t>
      </w:r>
      <w:r>
        <w:rPr>
          <w:rFonts w:hint="eastAsia" w:ascii="方正仿宋_GBK" w:hAnsi="方正仿宋_GBK" w:cs="方正仿宋_GBK"/>
        </w:rPr>
        <w:t>督促参建各方按约定完成验收阶段工程文档的编制、签署、归档留存工作；</w:t>
      </w:r>
    </w:p>
    <w:p>
      <w:pPr>
        <w:spacing w:line="600" w:lineRule="exact"/>
        <w:ind w:firstLine="640" w:firstLineChars="200"/>
        <w:jc w:val="left"/>
        <w:rPr>
          <w:rFonts w:hint="eastAsia" w:ascii="方正仿宋_GBK" w:hAnsi="方正仿宋_GBK" w:cs="方正仿宋_GBK"/>
        </w:rPr>
      </w:pPr>
      <w:r>
        <w:t>（</w:t>
      </w:r>
      <w:r>
        <w:rPr>
          <w:rFonts w:hint="eastAsia"/>
        </w:rPr>
        <w:t>8</w:t>
      </w:r>
      <w:r>
        <w:t>）</w:t>
      </w:r>
      <w:r>
        <w:rPr>
          <w:rFonts w:hint="eastAsia" w:ascii="方正仿宋_GBK" w:hAnsi="方正仿宋_GBK" w:cs="方正仿宋_GBK"/>
        </w:rPr>
        <w:t>协助采购人梳理汇总验收材料，督促承建单位完成项目技术文档、过程文档的整理、分类、规整工作；</w:t>
      </w:r>
    </w:p>
    <w:p>
      <w:pPr>
        <w:spacing w:line="600" w:lineRule="exact"/>
        <w:ind w:firstLine="640" w:firstLineChars="200"/>
        <w:jc w:val="left"/>
        <w:rPr>
          <w:rFonts w:hint="eastAsia" w:ascii="方正仿宋_GBK" w:hAnsi="方正仿宋_GBK" w:cs="方正仿宋_GBK"/>
        </w:rPr>
      </w:pPr>
      <w:r>
        <w:t>（</w:t>
      </w:r>
      <w:r>
        <w:rPr>
          <w:rFonts w:hint="eastAsia"/>
        </w:rPr>
        <w:t>9</w:t>
      </w:r>
      <w:r>
        <w:t>）</w:t>
      </w:r>
      <w:r>
        <w:rPr>
          <w:rFonts w:hint="eastAsia" w:ascii="方正仿宋_GBK" w:hAnsi="方正仿宋_GBK" w:cs="方正仿宋_GBK"/>
        </w:rPr>
        <w:t>督促承建单位严格按照项目验收规范、档案归档标准，完成全套项目文档归档工作；</w:t>
      </w:r>
    </w:p>
    <w:p>
      <w:pPr>
        <w:spacing w:line="600" w:lineRule="exact"/>
        <w:ind w:firstLine="640" w:firstLineChars="200"/>
        <w:jc w:val="left"/>
        <w:rPr>
          <w:rFonts w:hint="eastAsia" w:ascii="方正仿宋_GBK" w:hAnsi="方正仿宋_GBK" w:cs="方正仿宋_GBK"/>
        </w:rPr>
      </w:pPr>
      <w:r>
        <w:t>（</w:t>
      </w:r>
      <w:r>
        <w:rPr>
          <w:rFonts w:hint="eastAsia"/>
        </w:rPr>
        <w:t>10</w:t>
      </w:r>
      <w:r>
        <w:t>）</w:t>
      </w:r>
      <w:r>
        <w:rPr>
          <w:rFonts w:hint="eastAsia" w:ascii="方正仿宋_GBK" w:hAnsi="方正仿宋_GBK" w:cs="方正仿宋_GBK"/>
        </w:rPr>
        <w:t>督促承建单位完成项目文档、设备随机资料的移交工作，确保移交资料齐全、完整、合规；</w:t>
      </w:r>
    </w:p>
    <w:p>
      <w:pPr>
        <w:spacing w:line="600" w:lineRule="exact"/>
        <w:ind w:firstLine="640" w:firstLineChars="200"/>
        <w:jc w:val="left"/>
        <w:rPr>
          <w:rFonts w:hint="eastAsia" w:ascii="方正仿宋_GBK" w:hAnsi="方正仿宋_GBK" w:cs="方正仿宋_GBK"/>
        </w:rPr>
      </w:pPr>
      <w:r>
        <w:t>（</w:t>
      </w:r>
      <w:r>
        <w:rPr>
          <w:rFonts w:hint="eastAsia"/>
        </w:rPr>
        <w:t>11</w:t>
      </w:r>
      <w:r>
        <w:t>）</w:t>
      </w:r>
      <w:r>
        <w:rPr>
          <w:rFonts w:hint="eastAsia" w:ascii="方正仿宋_GBK" w:hAnsi="方正仿宋_GBK" w:cs="方正仿宋_GBK"/>
        </w:rPr>
        <w:t>协助采购人记录验收专家组评审意见，逐条梳理整改要求，督促承建单位完成问题闭环整改；</w:t>
      </w:r>
    </w:p>
    <w:p>
      <w:pPr>
        <w:spacing w:line="600" w:lineRule="exact"/>
        <w:ind w:firstLine="640" w:firstLineChars="200"/>
        <w:jc w:val="left"/>
        <w:rPr>
          <w:rFonts w:hint="eastAsia" w:ascii="方正仿宋_GBK" w:hAnsi="方正仿宋_GBK" w:cs="方正仿宋_GBK"/>
        </w:rPr>
      </w:pPr>
      <w:r>
        <w:t>（</w:t>
      </w:r>
      <w:r>
        <w:rPr>
          <w:rFonts w:hint="eastAsia"/>
        </w:rPr>
        <w:t>12</w:t>
      </w:r>
      <w:r>
        <w:t>）</w:t>
      </w:r>
      <w:r>
        <w:rPr>
          <w:rFonts w:hint="eastAsia" w:ascii="方正仿宋_GBK" w:hAnsi="方正仿宋_GBK" w:cs="方正仿宋_GBK"/>
        </w:rPr>
        <w:t>整理汇总项目全周期监理文档，按采购人要求规范成册、完整移交；</w:t>
      </w:r>
    </w:p>
    <w:p>
      <w:pPr>
        <w:spacing w:line="600" w:lineRule="exact"/>
        <w:ind w:firstLine="640" w:firstLineChars="200"/>
        <w:jc w:val="left"/>
        <w:rPr>
          <w:rFonts w:hint="eastAsia" w:ascii="方正仿宋_GBK" w:hAnsi="方正仿宋_GBK" w:cs="方正仿宋_GBK"/>
        </w:rPr>
      </w:pPr>
      <w:r>
        <w:t>（</w:t>
      </w:r>
      <w:r>
        <w:rPr>
          <w:rFonts w:hint="eastAsia"/>
        </w:rPr>
        <w:t>13</w:t>
      </w:r>
      <w:r>
        <w:t>）</w:t>
      </w:r>
      <w:r>
        <w:rPr>
          <w:rFonts w:hint="eastAsia" w:ascii="方正仿宋_GBK" w:hAnsi="方正仿宋_GBK" w:cs="方正仿宋_GBK"/>
        </w:rPr>
        <w:t>妥善保管项目建设全过程监理文档，做好文档备份、保密、留存工作。</w:t>
      </w:r>
    </w:p>
    <w:p>
      <w:pPr>
        <w:spacing w:line="600" w:lineRule="exact"/>
        <w:ind w:firstLine="640" w:firstLineChars="200"/>
        <w:jc w:val="left"/>
        <w:rPr>
          <w:szCs w:val="32"/>
        </w:rPr>
      </w:pPr>
      <w:r>
        <w:rPr>
          <w:rFonts w:hint="eastAsia"/>
          <w:szCs w:val="32"/>
        </w:rPr>
        <w:t>9.安全管理要求</w:t>
      </w:r>
    </w:p>
    <w:p>
      <w:pPr>
        <w:spacing w:line="600" w:lineRule="exact"/>
        <w:ind w:firstLine="640" w:firstLineChars="200"/>
        <w:jc w:val="left"/>
        <w:rPr>
          <w:rFonts w:hint="eastAsia" w:ascii="方正仿宋_GBK" w:hAnsi="方正仿宋_GBK" w:cs="方正仿宋_GBK"/>
        </w:rPr>
      </w:pPr>
      <w:r>
        <w:t>（1）</w:t>
      </w:r>
      <w:r>
        <w:rPr>
          <w:rFonts w:hint="eastAsia" w:ascii="方正仿宋_GBK" w:hAnsi="方正仿宋_GBK" w:cs="方正仿宋_GBK"/>
        </w:rPr>
        <w:t>负责项目建设过程中所涉及的数据和资料的保护，保证不被非授权使用，提供相应有效技术措施；</w:t>
      </w:r>
    </w:p>
    <w:p>
      <w:pPr>
        <w:spacing w:line="600" w:lineRule="exact"/>
        <w:ind w:firstLine="640" w:firstLineChars="200"/>
        <w:jc w:val="left"/>
      </w:pPr>
      <w:r>
        <w:t>（2）</w:t>
      </w:r>
      <w:r>
        <w:rPr>
          <w:rFonts w:hint="eastAsia" w:ascii="方正仿宋_GBK" w:hAnsi="方正仿宋_GBK" w:cs="方正仿宋_GBK"/>
        </w:rPr>
        <w:t>负责项目建设施工过程中安全控制，确保不出现安全事故。</w:t>
      </w:r>
    </w:p>
    <w:p>
      <w:pPr>
        <w:spacing w:line="600" w:lineRule="exact"/>
        <w:ind w:firstLine="640" w:firstLineChars="200"/>
        <w:jc w:val="left"/>
        <w:rPr>
          <w:szCs w:val="32"/>
        </w:rPr>
      </w:pPr>
      <w:r>
        <w:rPr>
          <w:rFonts w:hint="eastAsia"/>
          <w:szCs w:val="32"/>
        </w:rPr>
        <w:t>10.协调工作要求</w:t>
      </w:r>
    </w:p>
    <w:p>
      <w:pPr>
        <w:spacing w:line="600" w:lineRule="exact"/>
        <w:ind w:firstLine="640" w:firstLineChars="200"/>
        <w:jc w:val="left"/>
        <w:rPr>
          <w:rFonts w:hint="eastAsia" w:ascii="方正仿宋_GBK" w:hAnsi="方正仿宋_GBK" w:cs="方正仿宋_GBK"/>
        </w:rPr>
      </w:pPr>
      <w:r>
        <w:t>（</w:t>
      </w:r>
      <w:r>
        <w:rPr>
          <w:rFonts w:hint="eastAsia"/>
        </w:rPr>
        <w:t>1</w:t>
      </w:r>
      <w:r>
        <w:t>）</w:t>
      </w:r>
      <w:r>
        <w:rPr>
          <w:rFonts w:hint="eastAsia" w:ascii="方正仿宋_GBK" w:hAnsi="方正仿宋_GBK" w:cs="方正仿宋_GBK"/>
        </w:rPr>
        <w:t>联合采购人、承建单位建立项目全过程协调工作机制，明确沟通、协调、处置流程；</w:t>
      </w:r>
    </w:p>
    <w:p>
      <w:pPr>
        <w:spacing w:line="600" w:lineRule="exact"/>
        <w:ind w:firstLine="640" w:firstLineChars="200"/>
        <w:jc w:val="left"/>
        <w:rPr>
          <w:rFonts w:hint="eastAsia" w:ascii="方正仿宋_GBK" w:hAnsi="方正仿宋_GBK" w:cs="方正仿宋_GBK"/>
        </w:rPr>
      </w:pPr>
      <w:r>
        <w:t>（</w:t>
      </w:r>
      <w:r>
        <w:rPr>
          <w:rFonts w:hint="eastAsia"/>
        </w:rPr>
        <w:t>2</w:t>
      </w:r>
      <w:r>
        <w:t>）</w:t>
      </w:r>
      <w:r>
        <w:rPr>
          <w:rFonts w:hint="eastAsia" w:ascii="方正仿宋_GBK" w:hAnsi="方正仿宋_GBK" w:cs="方正仿宋_GBK"/>
        </w:rPr>
        <w:t>与参建各方确定项目设计、实施、验收各阶段的协调方式，通过监理例会、专题会议等形式常态化推进项目工作；</w:t>
      </w:r>
    </w:p>
    <w:p>
      <w:pPr>
        <w:spacing w:line="600" w:lineRule="exact"/>
        <w:ind w:firstLine="640" w:firstLineChars="200"/>
        <w:jc w:val="left"/>
        <w:rPr>
          <w:rFonts w:hint="eastAsia" w:ascii="方正仿宋_GBK" w:hAnsi="方正仿宋_GBK" w:cs="方正仿宋_GBK"/>
        </w:rPr>
      </w:pPr>
      <w:r>
        <w:t>（</w:t>
      </w:r>
      <w:r>
        <w:rPr>
          <w:rFonts w:hint="eastAsia"/>
        </w:rPr>
        <w:t>3</w:t>
      </w:r>
      <w:r>
        <w:t>）</w:t>
      </w:r>
      <w:r>
        <w:rPr>
          <w:rFonts w:hint="eastAsia" w:ascii="方正仿宋_GBK" w:hAnsi="方正仿宋_GBK" w:cs="方正仿宋_GBK"/>
        </w:rPr>
        <w:t>针对项目建设过程中的各类变更、争议问题，出具专业监理意见，协调参建各方达成统一共识；</w:t>
      </w:r>
    </w:p>
    <w:p>
      <w:pPr>
        <w:spacing w:line="600" w:lineRule="exact"/>
        <w:ind w:firstLine="640" w:firstLineChars="200"/>
        <w:jc w:val="left"/>
        <w:rPr>
          <w:rFonts w:hint="eastAsia" w:ascii="方正仿宋_GBK" w:hAnsi="方正仿宋_GBK" w:cs="方正仿宋_GBK"/>
        </w:rPr>
      </w:pPr>
      <w:r>
        <w:t>（</w:t>
      </w:r>
      <w:r>
        <w:rPr>
          <w:rFonts w:hint="eastAsia"/>
        </w:rPr>
        <w:t>4</w:t>
      </w:r>
      <w:r>
        <w:t>）</w:t>
      </w:r>
      <w:r>
        <w:rPr>
          <w:rFonts w:hint="eastAsia" w:ascii="方正仿宋_GBK" w:hAnsi="方正仿宋_GBK" w:cs="方正仿宋_GBK"/>
        </w:rPr>
        <w:t>针对各项协调结果及时整理归档，形成正式项目备忘录；</w:t>
      </w:r>
    </w:p>
    <w:p>
      <w:pPr>
        <w:spacing w:line="600" w:lineRule="exact"/>
        <w:ind w:firstLine="640" w:firstLineChars="200"/>
        <w:jc w:val="left"/>
        <w:rPr>
          <w:rFonts w:hint="eastAsia" w:ascii="方正仿宋_GBK" w:hAnsi="方正仿宋_GBK" w:cs="方正仿宋_GBK"/>
        </w:rPr>
      </w:pPr>
      <w:r>
        <w:t>（</w:t>
      </w:r>
      <w:r>
        <w:rPr>
          <w:rFonts w:hint="eastAsia"/>
        </w:rPr>
        <w:t>5</w:t>
      </w:r>
      <w:r>
        <w:t>）</w:t>
      </w:r>
      <w:r>
        <w:rPr>
          <w:rFonts w:hint="eastAsia" w:ascii="方正仿宋_GBK" w:hAnsi="方正仿宋_GBK" w:cs="方正仿宋_GBK"/>
        </w:rPr>
        <w:t>按需组织项目专题会议，针对性解决项目专项问题，形成规范会议纪要并抄送各方执行；</w:t>
      </w:r>
    </w:p>
    <w:p>
      <w:pPr>
        <w:spacing w:line="600" w:lineRule="exact"/>
        <w:ind w:firstLine="640" w:firstLineChars="200"/>
        <w:jc w:val="left"/>
        <w:rPr>
          <w:rFonts w:hint="eastAsia" w:ascii="方正仿宋_GBK" w:hAnsi="方正仿宋_GBK" w:cs="方正仿宋_GBK"/>
        </w:rPr>
      </w:pPr>
      <w:r>
        <w:t>（</w:t>
      </w:r>
      <w:r>
        <w:rPr>
          <w:rFonts w:hint="eastAsia"/>
        </w:rPr>
        <w:t>6</w:t>
      </w:r>
      <w:r>
        <w:t>）</w:t>
      </w:r>
      <w:r>
        <w:rPr>
          <w:rFonts w:hint="eastAsia" w:ascii="方正仿宋_GBK" w:hAnsi="方正仿宋_GBK" w:cs="方正仿宋_GBK"/>
        </w:rPr>
        <w:t>协调采购人与承建单位就工程变更范围、内容、标准达成一致，保障变更顺利落地；</w:t>
      </w:r>
    </w:p>
    <w:p>
      <w:pPr>
        <w:spacing w:line="600" w:lineRule="exact"/>
        <w:ind w:firstLine="640" w:firstLineChars="200"/>
        <w:jc w:val="left"/>
        <w:rPr>
          <w:rFonts w:hint="eastAsia" w:ascii="方正仿宋_GBK" w:hAnsi="方正仿宋_GBK" w:cs="方正仿宋_GBK"/>
        </w:rPr>
      </w:pPr>
      <w:r>
        <w:t>（</w:t>
      </w:r>
      <w:r>
        <w:rPr>
          <w:rFonts w:hint="eastAsia"/>
        </w:rPr>
        <w:t>7</w:t>
      </w:r>
      <w:r>
        <w:t>）</w:t>
      </w:r>
      <w:r>
        <w:rPr>
          <w:rFonts w:hint="eastAsia" w:ascii="方正仿宋_GBK" w:hAnsi="方正仿宋_GBK" w:cs="方正仿宋_GBK"/>
        </w:rPr>
        <w:t>沟通、协调、处置项目建设过程中的各类索赔事项，公正判定责任、梳理解决方案；</w:t>
      </w:r>
    </w:p>
    <w:p>
      <w:pPr>
        <w:spacing w:line="600" w:lineRule="exact"/>
        <w:ind w:firstLine="640" w:firstLineChars="200"/>
        <w:jc w:val="left"/>
        <w:rPr>
          <w:rFonts w:hint="eastAsia" w:ascii="方正仿宋_GBK" w:hAnsi="方正仿宋_GBK" w:cs="方正仿宋_GBK"/>
        </w:rPr>
      </w:pPr>
      <w:r>
        <w:t>（</w:t>
      </w:r>
      <w:r>
        <w:rPr>
          <w:rFonts w:hint="eastAsia"/>
        </w:rPr>
        <w:t>8</w:t>
      </w:r>
      <w:r>
        <w:t>）</w:t>
      </w:r>
      <w:r>
        <w:rPr>
          <w:rFonts w:hint="eastAsia" w:ascii="方正仿宋_GBK" w:hAnsi="方正仿宋_GBK" w:cs="方正仿宋_GBK"/>
        </w:rPr>
        <w:t>协调采购人配合承建单位开展项目实施、调试、部署等相关工作；</w:t>
      </w:r>
    </w:p>
    <w:p>
      <w:pPr>
        <w:spacing w:line="600" w:lineRule="exact"/>
        <w:ind w:firstLine="640" w:firstLineChars="200"/>
        <w:jc w:val="left"/>
        <w:rPr>
          <w:rFonts w:hint="eastAsia" w:ascii="方正仿宋_GBK" w:hAnsi="方正仿宋_GBK" w:cs="方正仿宋_GBK"/>
        </w:rPr>
      </w:pPr>
      <w:r>
        <w:t>（</w:t>
      </w:r>
      <w:r>
        <w:rPr>
          <w:rFonts w:hint="eastAsia"/>
        </w:rPr>
        <w:t>9</w:t>
      </w:r>
      <w:r>
        <w:t>）</w:t>
      </w:r>
      <w:r>
        <w:rPr>
          <w:rFonts w:hint="eastAsia" w:ascii="方正仿宋_GBK" w:hAnsi="方正仿宋_GBK" w:cs="方正仿宋_GBK"/>
        </w:rPr>
        <w:t>统筹协调参建各方配合项目初步验收、最终验收工作；</w:t>
      </w:r>
    </w:p>
    <w:p>
      <w:pPr>
        <w:spacing w:line="600" w:lineRule="exact"/>
        <w:ind w:firstLine="640" w:firstLineChars="200"/>
        <w:jc w:val="left"/>
        <w:rPr>
          <w:rFonts w:hint="eastAsia" w:ascii="方正仿宋_GBK" w:hAnsi="方正仿宋_GBK" w:cs="方正仿宋_GBK"/>
        </w:rPr>
      </w:pPr>
      <w:r>
        <w:t>（</w:t>
      </w:r>
      <w:r>
        <w:rPr>
          <w:rFonts w:hint="eastAsia"/>
        </w:rPr>
        <w:t>10</w:t>
      </w:r>
      <w:r>
        <w:t>）</w:t>
      </w:r>
      <w:r>
        <w:rPr>
          <w:rFonts w:hint="eastAsia" w:ascii="方正仿宋_GBK" w:hAnsi="方正仿宋_GBK" w:cs="方正仿宋_GBK"/>
        </w:rPr>
        <w:t>协助采购人和承建单位完成项目移交、资料移交、系统交接等工作。</w:t>
      </w:r>
      <w:bookmarkEnd w:id="4"/>
      <w:bookmarkEnd w:id="5"/>
    </w:p>
    <w:p>
      <w:pPr>
        <w:spacing w:line="600" w:lineRule="exact"/>
        <w:ind w:firstLine="640" w:firstLineChars="200"/>
        <w:jc w:val="left"/>
        <w:rPr>
          <w:szCs w:val="32"/>
        </w:rPr>
      </w:pPr>
      <w:r>
        <w:rPr>
          <w:rFonts w:hint="eastAsia"/>
          <w:szCs w:val="32"/>
        </w:rPr>
        <w:t>11.项目知识产权的管理</w:t>
      </w:r>
    </w:p>
    <w:p>
      <w:pPr>
        <w:spacing w:line="600" w:lineRule="exact"/>
        <w:ind w:firstLine="640" w:firstLineChars="200"/>
        <w:jc w:val="left"/>
        <w:rPr>
          <w:lang w:val="zh-CN"/>
        </w:rPr>
      </w:pPr>
      <w:r>
        <w:t>（</w:t>
      </w:r>
      <w:r>
        <w:rPr>
          <w:rFonts w:hint="eastAsia"/>
        </w:rPr>
        <w:t>1</w:t>
      </w:r>
      <w:r>
        <w:t>）</w:t>
      </w:r>
      <w:r>
        <w:rPr>
          <w:rFonts w:hint="eastAsia"/>
          <w:lang w:val="zh-CN"/>
        </w:rPr>
        <w:t>负责项目建设过程中所产生成果的知识产权保护，保证不被非授权使用；</w:t>
      </w:r>
    </w:p>
    <w:p>
      <w:pPr>
        <w:spacing w:line="600" w:lineRule="exact"/>
        <w:ind w:firstLine="640" w:firstLineChars="200"/>
        <w:jc w:val="left"/>
      </w:pPr>
      <w:r>
        <w:t>（</w:t>
      </w:r>
      <w:r>
        <w:rPr>
          <w:rFonts w:hint="eastAsia"/>
        </w:rPr>
        <w:t>2</w:t>
      </w:r>
      <w:r>
        <w:t>）</w:t>
      </w:r>
      <w:r>
        <w:rPr>
          <w:rFonts w:hint="eastAsia"/>
          <w:lang w:val="zh-CN"/>
        </w:rPr>
        <w:t>负责项目建设过程中涉及知识产权的产品和系统的使用审核，保证业主方不在本项目建设中出现违反知识产权的行为。</w:t>
      </w:r>
    </w:p>
    <w:p>
      <w:pPr>
        <w:spacing w:line="600" w:lineRule="exact"/>
        <w:ind w:firstLine="640" w:firstLineChars="200"/>
        <w:jc w:val="left"/>
        <w:rPr>
          <w:szCs w:val="32"/>
        </w:rPr>
      </w:pPr>
      <w:r>
        <w:rPr>
          <w:rFonts w:hint="eastAsia"/>
          <w:szCs w:val="32"/>
        </w:rPr>
        <w:t>12.监理服务工作成果：</w:t>
      </w:r>
    </w:p>
    <w:p>
      <w:pPr>
        <w:wordWrap w:val="0"/>
        <w:spacing w:line="600" w:lineRule="exact"/>
        <w:ind w:firstLine="640" w:firstLineChars="200"/>
        <w:jc w:val="left"/>
      </w:pPr>
      <w:bookmarkStart w:id="6" w:name="_Toc3744"/>
      <w:r>
        <w:rPr>
          <w:rFonts w:hint="eastAsia"/>
        </w:rPr>
        <w:t>按照重庆市政务数字化应用管理相关要求及建设工程监理规范，</w:t>
      </w:r>
      <w:r>
        <w:rPr>
          <w:rFonts w:hint="eastAsia"/>
          <w:highlight w:val="none"/>
        </w:rPr>
        <w:t>结合《重庆市政务数字化应用开发操作指南（202</w:t>
      </w:r>
      <w:r>
        <w:rPr>
          <w:rFonts w:hint="eastAsia"/>
          <w:highlight w:val="none"/>
          <w:lang w:val="en-US" w:eastAsia="zh-CN"/>
        </w:rPr>
        <w:t>5</w:t>
      </w:r>
      <w:r>
        <w:rPr>
          <w:rFonts w:hint="eastAsia"/>
          <w:highlight w:val="none"/>
        </w:rPr>
        <w:t>版）》（渝大数据发﹝202</w:t>
      </w:r>
      <w:r>
        <w:rPr>
          <w:rFonts w:hint="eastAsia"/>
          <w:highlight w:val="none"/>
          <w:lang w:val="en-US" w:eastAsia="zh-CN"/>
        </w:rPr>
        <w:t>5</w:t>
      </w:r>
      <w:r>
        <w:rPr>
          <w:rFonts w:hint="eastAsia"/>
          <w:highlight w:val="none"/>
        </w:rPr>
        <w:t>﹞</w:t>
      </w:r>
      <w:r>
        <w:rPr>
          <w:rFonts w:hint="eastAsia"/>
          <w:highlight w:val="none"/>
          <w:lang w:val="en-US" w:eastAsia="zh-CN"/>
        </w:rPr>
        <w:t>201</w:t>
      </w:r>
      <w:r>
        <w:rPr>
          <w:rFonts w:hint="eastAsia"/>
          <w:highlight w:val="none"/>
        </w:rPr>
        <w:t>号）开展相关工作，</w:t>
      </w:r>
      <w:r>
        <w:rPr>
          <w:rFonts w:hint="eastAsia"/>
        </w:rPr>
        <w:t>具体监理服务工作内容与输出成果包含但不限于：</w:t>
      </w:r>
      <w:bookmarkEnd w:id="6"/>
    </w:p>
    <w:p>
      <w:pPr>
        <w:pStyle w:val="7"/>
        <w:spacing w:line="240" w:lineRule="exact"/>
        <w:ind w:firstLine="0"/>
        <w:jc w:val="center"/>
      </w:pPr>
    </w:p>
    <w:tbl>
      <w:tblPr>
        <w:tblStyle w:val="16"/>
        <w:tblW w:w="956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791"/>
        <w:gridCol w:w="670"/>
        <w:gridCol w:w="6251"/>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5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kern w:val="0"/>
                <w:sz w:val="21"/>
                <w:szCs w:val="21"/>
              </w:rPr>
              <w:t>序号</w:t>
            </w:r>
          </w:p>
        </w:tc>
        <w:tc>
          <w:tcPr>
            <w:tcW w:w="791" w:type="dxa"/>
            <w:tcBorders>
              <w:top w:val="single" w:color="auto" w:sz="4" w:space="0"/>
              <w:left w:val="nil"/>
              <w:bottom w:val="single" w:color="auto" w:sz="4" w:space="0"/>
              <w:right w:val="single" w:color="auto" w:sz="4" w:space="0"/>
            </w:tcBorders>
            <w:vAlign w:val="center"/>
          </w:tcPr>
          <w:p>
            <w:pPr>
              <w:spacing w:line="0" w:lineRule="atLeast"/>
              <w:jc w:val="center"/>
              <w:rPr>
                <w:rFonts w:hint="eastAsia" w:ascii="方正黑体_GBK" w:hAnsi="方正黑体_GBK" w:eastAsia="方正黑体_GBK" w:cs="方正黑体_GBK"/>
                <w:kern w:val="0"/>
                <w:sz w:val="21"/>
                <w:szCs w:val="21"/>
              </w:rPr>
            </w:pPr>
            <w:r>
              <w:rPr>
                <w:rFonts w:hint="eastAsia" w:ascii="方正黑体_GBK" w:hAnsi="方正黑体_GBK" w:eastAsia="方正黑体_GBK" w:cs="方正黑体_GBK"/>
                <w:kern w:val="0"/>
                <w:sz w:val="21"/>
                <w:szCs w:val="21"/>
              </w:rPr>
              <w:t>内容分类</w:t>
            </w:r>
          </w:p>
        </w:tc>
        <w:tc>
          <w:tcPr>
            <w:tcW w:w="670" w:type="dxa"/>
            <w:tcBorders>
              <w:top w:val="single" w:color="auto" w:sz="4" w:space="0"/>
              <w:left w:val="nil"/>
              <w:bottom w:val="single" w:color="auto" w:sz="4" w:space="0"/>
              <w:right w:val="single" w:color="auto" w:sz="4" w:space="0"/>
            </w:tcBorders>
            <w:vAlign w:val="center"/>
          </w:tcPr>
          <w:p>
            <w:pPr>
              <w:spacing w:line="0" w:lineRule="atLeas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工作内容</w:t>
            </w:r>
          </w:p>
        </w:tc>
        <w:tc>
          <w:tcPr>
            <w:tcW w:w="6251" w:type="dxa"/>
            <w:tcBorders>
              <w:top w:val="single" w:color="auto" w:sz="4" w:space="0"/>
              <w:left w:val="nil"/>
              <w:bottom w:val="single" w:color="auto" w:sz="4" w:space="0"/>
              <w:right w:val="single" w:color="auto" w:sz="4" w:space="0"/>
            </w:tcBorders>
            <w:vAlign w:val="center"/>
          </w:tcPr>
          <w:p>
            <w:pPr>
              <w:spacing w:line="0" w:lineRule="atLeas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服务描述</w:t>
            </w:r>
          </w:p>
        </w:tc>
        <w:tc>
          <w:tcPr>
            <w:tcW w:w="1348" w:type="dxa"/>
            <w:tcBorders>
              <w:top w:val="single" w:color="auto" w:sz="4" w:space="0"/>
              <w:left w:val="nil"/>
              <w:bottom w:val="single" w:color="auto" w:sz="4" w:space="0"/>
              <w:right w:val="single" w:color="auto" w:sz="4" w:space="0"/>
            </w:tcBorders>
            <w:vAlign w:val="center"/>
          </w:tcPr>
          <w:p>
            <w:pPr>
              <w:spacing w:line="0" w:lineRule="atLeas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服务成果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509" w:type="dxa"/>
            <w:tcBorders>
              <w:top w:val="single" w:color="auto" w:sz="4" w:space="0"/>
              <w:left w:val="single" w:color="auto" w:sz="4" w:space="0"/>
              <w:bottom w:val="single" w:color="auto" w:sz="4" w:space="0"/>
              <w:right w:val="single" w:color="auto" w:sz="4" w:space="0"/>
            </w:tcBorders>
            <w:vAlign w:val="center"/>
          </w:tcPr>
          <w:p>
            <w:pPr>
              <w:pStyle w:val="14"/>
              <w:widowControl/>
              <w:spacing w:before="0" w:beforeAutospacing="0" w:after="0" w:afterAutospacing="0" w:line="0" w:lineRule="atLeast"/>
              <w:jc w:val="center"/>
              <w:rPr>
                <w:color w:val="333333"/>
                <w:sz w:val="21"/>
                <w:szCs w:val="21"/>
              </w:rPr>
            </w:pPr>
            <w:r>
              <w:rPr>
                <w:color w:val="333333"/>
                <w:sz w:val="21"/>
                <w:szCs w:val="21"/>
              </w:rPr>
              <w:t>1</w:t>
            </w:r>
          </w:p>
        </w:tc>
        <w:tc>
          <w:tcPr>
            <w:tcW w:w="791" w:type="dxa"/>
            <w:vMerge w:val="restart"/>
            <w:tcBorders>
              <w:top w:val="single" w:color="auto" w:sz="4" w:space="0"/>
              <w:left w:val="nil"/>
              <w:right w:val="single" w:color="auto" w:sz="4" w:space="0"/>
            </w:tcBorders>
            <w:vAlign w:val="center"/>
          </w:tcPr>
          <w:p>
            <w:pPr>
              <w:pStyle w:val="14"/>
              <w:widowControl/>
              <w:spacing w:before="0" w:beforeAutospacing="0" w:after="0" w:afterAutospacing="0" w:line="0" w:lineRule="atLeast"/>
              <w:jc w:val="center"/>
              <w:rPr>
                <w:rFonts w:hint="eastAsia" w:ascii="方正仿宋_GBK" w:hAnsi="方正仿宋_GBK" w:eastAsia="方正仿宋_GBK" w:cs="方正仿宋_GBK"/>
                <w:color w:val="333333"/>
                <w:sz w:val="21"/>
                <w:szCs w:val="21"/>
                <w:lang w:eastAsia="zh-CN"/>
              </w:rPr>
            </w:pPr>
            <w:r>
              <w:rPr>
                <w:rFonts w:hint="eastAsia" w:ascii="方正仿宋_GBK" w:hAnsi="方正仿宋_GBK" w:eastAsia="方正仿宋_GBK" w:cs="方正仿宋_GBK"/>
                <w:color w:val="333333"/>
                <w:kern w:val="0"/>
                <w:sz w:val="21"/>
                <w:szCs w:val="21"/>
                <w:lang w:val="en-US" w:eastAsia="zh-CN" w:bidi="ar-SA"/>
              </w:rPr>
              <w:t>项目实施</w:t>
            </w:r>
          </w:p>
        </w:tc>
        <w:tc>
          <w:tcPr>
            <w:tcW w:w="670"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质量</w:t>
            </w:r>
          </w:p>
          <w:p>
            <w:pPr>
              <w:pStyle w:val="14"/>
              <w:widowControl/>
              <w:spacing w:before="0" w:beforeAutospacing="0" w:after="0" w:afterAutospacing="0" w:line="0" w:lineRule="atLeast"/>
              <w:rPr>
                <w:rFonts w:hint="eastAsia" w:ascii="宋体" w:hAnsi="宋体" w:eastAsia="宋体" w:cs="宋体"/>
                <w:sz w:val="21"/>
                <w:szCs w:val="21"/>
              </w:rPr>
            </w:pPr>
            <w:r>
              <w:rPr>
                <w:rFonts w:hint="eastAsia" w:ascii="方正仿宋_GBK" w:hAnsi="方正仿宋_GBK" w:cs="方正仿宋_GBK"/>
                <w:color w:val="333333"/>
                <w:sz w:val="21"/>
                <w:szCs w:val="21"/>
              </w:rPr>
              <w:t>检查</w:t>
            </w:r>
          </w:p>
        </w:tc>
        <w:tc>
          <w:tcPr>
            <w:tcW w:w="6251"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color w:val="333333"/>
                <w:sz w:val="21"/>
                <w:szCs w:val="21"/>
              </w:rPr>
            </w:pPr>
            <w:r>
              <w:rPr>
                <w:color w:val="333333"/>
                <w:sz w:val="21"/>
                <w:szCs w:val="21"/>
              </w:rPr>
              <w:t>1.根据项目承建方提交的项目总体建设方案确定文件审查点，对项目承建方提供的过程文件（涵盖设计、测试、培训、验收等各阶段等）进行审查和确认；</w:t>
            </w:r>
          </w:p>
          <w:p>
            <w:pPr>
              <w:pStyle w:val="14"/>
              <w:widowControl/>
              <w:spacing w:before="0" w:beforeAutospacing="0" w:after="0" w:afterAutospacing="0" w:line="0" w:lineRule="atLeast"/>
              <w:rPr>
                <w:color w:val="333333"/>
                <w:sz w:val="21"/>
                <w:szCs w:val="21"/>
              </w:rPr>
            </w:pPr>
            <w:r>
              <w:rPr>
                <w:color w:val="333333"/>
                <w:sz w:val="21"/>
                <w:szCs w:val="21"/>
              </w:rPr>
              <w:t>2.针对项目实施过程中的需求确认、关键测试验收点设立控制点，对该质量控制点的实施过程进行认真的监督、检查，并详细记录该工作内容、质量并签字确认，作为凭证</w:t>
            </w:r>
            <w:r>
              <w:rPr>
                <w:rFonts w:hint="eastAsia"/>
                <w:color w:val="333333"/>
                <w:sz w:val="21"/>
                <w:szCs w:val="21"/>
              </w:rPr>
              <w:t>；</w:t>
            </w:r>
          </w:p>
          <w:p>
            <w:pPr>
              <w:pStyle w:val="14"/>
              <w:widowControl/>
              <w:spacing w:before="0" w:beforeAutospacing="0" w:after="0" w:afterAutospacing="0" w:line="0" w:lineRule="atLeast"/>
              <w:rPr>
                <w:color w:val="333333"/>
                <w:sz w:val="21"/>
                <w:szCs w:val="21"/>
              </w:rPr>
            </w:pPr>
            <w:r>
              <w:rPr>
                <w:rFonts w:hint="eastAsia"/>
                <w:color w:val="333333"/>
                <w:sz w:val="21"/>
                <w:szCs w:val="21"/>
              </w:rPr>
              <w:t>3.针对合同约定各履约付款节点设立控制点，对该付款控制点是否符合合同约定的前置条件进行严格审查，如实记录核查意见、审查结果并签字确认，作为付款审批与履约管控依据。</w:t>
            </w:r>
          </w:p>
        </w:tc>
        <w:tc>
          <w:tcPr>
            <w:tcW w:w="1348"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宋体" w:hAnsi="宋体" w:eastAsia="宋体" w:cs="宋体"/>
                <w:sz w:val="21"/>
                <w:szCs w:val="21"/>
              </w:rPr>
            </w:pPr>
            <w:r>
              <w:rPr>
                <w:rFonts w:hint="eastAsia" w:ascii="方正仿宋_GBK" w:hAnsi="方正仿宋_GBK" w:cs="方正仿宋_GBK"/>
                <w:color w:val="333333"/>
                <w:sz w:val="21"/>
                <w:szCs w:val="21"/>
              </w:rPr>
              <w:t>监理大纲、监理工作计划、分阶段验收记录及监理专题报告、关键文档审查意见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509" w:type="dxa"/>
            <w:tcBorders>
              <w:top w:val="single" w:color="auto" w:sz="4" w:space="0"/>
              <w:left w:val="single" w:color="auto" w:sz="4" w:space="0"/>
              <w:bottom w:val="single" w:color="auto" w:sz="4" w:space="0"/>
              <w:right w:val="single" w:color="auto" w:sz="4" w:space="0"/>
            </w:tcBorders>
            <w:vAlign w:val="center"/>
          </w:tcPr>
          <w:p>
            <w:pPr>
              <w:pStyle w:val="14"/>
              <w:widowControl/>
              <w:spacing w:before="0" w:beforeAutospacing="0" w:after="0" w:afterAutospacing="0" w:line="0" w:lineRule="atLeast"/>
              <w:jc w:val="center"/>
              <w:rPr>
                <w:color w:val="333333"/>
                <w:sz w:val="21"/>
                <w:szCs w:val="21"/>
              </w:rPr>
            </w:pPr>
            <w:r>
              <w:rPr>
                <w:color w:val="333333"/>
                <w:sz w:val="21"/>
                <w:szCs w:val="21"/>
              </w:rPr>
              <w:t>2</w:t>
            </w:r>
          </w:p>
        </w:tc>
        <w:tc>
          <w:tcPr>
            <w:tcW w:w="791" w:type="dxa"/>
            <w:vMerge w:val="continue"/>
            <w:tcBorders>
              <w:left w:val="nil"/>
              <w:right w:val="single" w:color="auto" w:sz="4" w:space="0"/>
            </w:tcBorders>
            <w:vAlign w:val="center"/>
          </w:tcPr>
          <w:p>
            <w:pPr>
              <w:pStyle w:val="14"/>
              <w:widowControl/>
              <w:spacing w:before="0" w:beforeAutospacing="0" w:after="0" w:afterAutospacing="0" w:line="0" w:lineRule="atLeast"/>
              <w:jc w:val="center"/>
              <w:rPr>
                <w:rFonts w:hint="eastAsia" w:ascii="方正仿宋_GBK" w:hAnsi="方正仿宋_GBK" w:cs="方正仿宋_GBK"/>
                <w:color w:val="333333"/>
                <w:sz w:val="21"/>
                <w:szCs w:val="21"/>
              </w:rPr>
            </w:pPr>
          </w:p>
        </w:tc>
        <w:tc>
          <w:tcPr>
            <w:tcW w:w="670"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变更</w:t>
            </w:r>
          </w:p>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审核</w:t>
            </w:r>
          </w:p>
        </w:tc>
        <w:tc>
          <w:tcPr>
            <w:tcW w:w="6251"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color w:val="333333"/>
                <w:sz w:val="21"/>
                <w:szCs w:val="21"/>
              </w:rPr>
            </w:pPr>
            <w:r>
              <w:rPr>
                <w:rFonts w:hint="eastAsia"/>
                <w:color w:val="333333"/>
                <w:sz w:val="21"/>
                <w:szCs w:val="21"/>
              </w:rPr>
              <w:t>1.协同采购人或项目承建方就变更有关的申请、评估、计划、实施方案和验证材料等进行书面记录并进行备案；</w:t>
            </w:r>
          </w:p>
          <w:p>
            <w:pPr>
              <w:pStyle w:val="14"/>
              <w:widowControl/>
              <w:spacing w:before="0" w:beforeAutospacing="0" w:after="0" w:afterAutospacing="0" w:line="0" w:lineRule="atLeast"/>
              <w:rPr>
                <w:color w:val="333333"/>
                <w:sz w:val="21"/>
                <w:szCs w:val="21"/>
              </w:rPr>
            </w:pPr>
            <w:r>
              <w:rPr>
                <w:rFonts w:hint="eastAsia"/>
                <w:color w:val="333333"/>
                <w:sz w:val="21"/>
                <w:szCs w:val="21"/>
              </w:rPr>
              <w:t>2.组织项目承建方对变更做必要的风险评估，包括对项目的计划、费用、效益、质量和进度等的影响；</w:t>
            </w:r>
          </w:p>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color w:val="333333"/>
                <w:sz w:val="21"/>
                <w:szCs w:val="21"/>
              </w:rPr>
              <w:t>3.涉及合同变更的，纳入合同管理范围提供相应服务。</w:t>
            </w:r>
          </w:p>
        </w:tc>
        <w:tc>
          <w:tcPr>
            <w:tcW w:w="1348"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项目变更单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5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eastAsia="宋体"/>
                <w:kern w:val="0"/>
                <w:sz w:val="21"/>
                <w:szCs w:val="21"/>
              </w:rPr>
            </w:pPr>
            <w:r>
              <w:rPr>
                <w:rFonts w:eastAsia="宋体"/>
                <w:kern w:val="0"/>
                <w:sz w:val="21"/>
                <w:szCs w:val="21"/>
              </w:rPr>
              <w:t>3</w:t>
            </w:r>
          </w:p>
        </w:tc>
        <w:tc>
          <w:tcPr>
            <w:tcW w:w="791" w:type="dxa"/>
            <w:tcBorders>
              <w:left w:val="nil"/>
              <w:right w:val="single" w:color="auto" w:sz="4" w:space="0"/>
            </w:tcBorders>
            <w:vAlign w:val="center"/>
          </w:tcPr>
          <w:p>
            <w:pPr>
              <w:spacing w:line="0" w:lineRule="atLeast"/>
              <w:jc w:val="center"/>
              <w:rPr>
                <w:rFonts w:hint="default" w:ascii="宋体" w:hAnsi="宋体" w:eastAsia="宋体" w:cs="宋体"/>
                <w:kern w:val="0"/>
                <w:sz w:val="21"/>
                <w:szCs w:val="21"/>
                <w:lang w:val="en-US"/>
              </w:rPr>
            </w:pPr>
            <w:r>
              <w:rPr>
                <w:rFonts w:hint="eastAsia" w:ascii="方正仿宋_GBK" w:hAnsi="方正仿宋_GBK" w:cs="方正仿宋_GBK"/>
                <w:color w:val="333333"/>
                <w:kern w:val="0"/>
                <w:sz w:val="21"/>
                <w:szCs w:val="21"/>
                <w:lang w:val="en-US" w:eastAsia="zh-CN" w:bidi="ar-SA"/>
              </w:rPr>
              <w:t>验收准备</w:t>
            </w:r>
          </w:p>
        </w:tc>
        <w:tc>
          <w:tcPr>
            <w:tcW w:w="670"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信息管理</w:t>
            </w:r>
          </w:p>
        </w:tc>
        <w:tc>
          <w:tcPr>
            <w:tcW w:w="6251"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对项目全过程的信息文档进行管理，记录文档各种版本、版本变更、版本评审意见和版本变更的原因等。</w:t>
            </w:r>
          </w:p>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纳入文档管理服务的文档包括但不限于</w:t>
            </w:r>
            <w:r>
              <w:rPr>
                <w:color w:val="333333"/>
                <w:sz w:val="21"/>
                <w:szCs w:val="21"/>
              </w:rPr>
              <w:t>项目总体建设方案</w:t>
            </w:r>
            <w:r>
              <w:rPr>
                <w:rFonts w:hint="eastAsia" w:ascii="方正仿宋_GBK" w:hAnsi="方正仿宋_GBK" w:cs="方正仿宋_GBK"/>
                <w:color w:val="333333"/>
                <w:sz w:val="21"/>
                <w:szCs w:val="21"/>
              </w:rPr>
              <w:t>、监理大纲、监理工作计划、需求分析文档、设计文档、评审纪要文档、监理周报、监理月报、监理例会纪要、监理工作联系单、监理通知单、重要会议记录、验收文档（含停工令、复工令、项目款支付证书）、资产信息备案和记录等。终验结束后，监理工作总结报告、整理项目有关的全部文档，并移交采购人。</w:t>
            </w:r>
          </w:p>
        </w:tc>
        <w:tc>
          <w:tcPr>
            <w:tcW w:w="1348"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交付物变更记录、文档移交清单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5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eastAsia="宋体"/>
                <w:kern w:val="0"/>
                <w:sz w:val="21"/>
                <w:szCs w:val="21"/>
              </w:rPr>
            </w:pPr>
            <w:r>
              <w:rPr>
                <w:rFonts w:eastAsia="宋体"/>
                <w:kern w:val="0"/>
                <w:sz w:val="21"/>
                <w:szCs w:val="21"/>
              </w:rPr>
              <w:t>4</w:t>
            </w:r>
          </w:p>
        </w:tc>
        <w:tc>
          <w:tcPr>
            <w:tcW w:w="791" w:type="dxa"/>
            <w:vMerge w:val="restart"/>
            <w:tcBorders>
              <w:left w:val="nil"/>
              <w:right w:val="single" w:color="auto" w:sz="4" w:space="0"/>
            </w:tcBorders>
            <w:vAlign w:val="center"/>
          </w:tcPr>
          <w:p>
            <w:pPr>
              <w:spacing w:line="0" w:lineRule="atLeast"/>
              <w:jc w:val="center"/>
              <w:rPr>
                <w:rFonts w:hint="eastAsia" w:ascii="宋体" w:hAnsi="宋体" w:eastAsia="宋体" w:cs="宋体"/>
                <w:kern w:val="0"/>
                <w:sz w:val="21"/>
                <w:szCs w:val="21"/>
              </w:rPr>
            </w:pPr>
            <w:r>
              <w:rPr>
                <w:rFonts w:hint="eastAsia" w:ascii="方正仿宋_GBK" w:hAnsi="方正仿宋_GBK" w:cs="方正仿宋_GBK"/>
                <w:color w:val="333333"/>
                <w:kern w:val="0"/>
                <w:sz w:val="21"/>
                <w:szCs w:val="21"/>
              </w:rPr>
              <w:t>验收管理服务</w:t>
            </w:r>
          </w:p>
        </w:tc>
        <w:tc>
          <w:tcPr>
            <w:tcW w:w="670"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项目初验服务</w:t>
            </w:r>
          </w:p>
        </w:tc>
        <w:tc>
          <w:tcPr>
            <w:tcW w:w="6251"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color w:val="333333"/>
                <w:sz w:val="21"/>
                <w:szCs w:val="21"/>
              </w:rPr>
            </w:pPr>
            <w:r>
              <w:rPr>
                <w:rFonts w:hint="eastAsia"/>
                <w:color w:val="333333"/>
                <w:sz w:val="21"/>
                <w:szCs w:val="21"/>
              </w:rPr>
              <w:t>1.评审项目承建方交付的预验收测试方案，并搞好组织协调，检查验收测试的环境和资源的落实情况；</w:t>
            </w:r>
          </w:p>
          <w:p>
            <w:pPr>
              <w:pStyle w:val="14"/>
              <w:widowControl/>
              <w:spacing w:before="0" w:beforeAutospacing="0" w:after="0" w:afterAutospacing="0" w:line="0" w:lineRule="atLeast"/>
              <w:rPr>
                <w:color w:val="333333"/>
                <w:sz w:val="21"/>
                <w:szCs w:val="21"/>
              </w:rPr>
            </w:pPr>
            <w:r>
              <w:rPr>
                <w:rFonts w:hint="eastAsia"/>
                <w:color w:val="333333"/>
                <w:sz w:val="21"/>
                <w:szCs w:val="21"/>
              </w:rPr>
              <w:t>2.检查项目承建方交付的文档和程序开发卷宗；</w:t>
            </w:r>
          </w:p>
          <w:p>
            <w:pPr>
              <w:pStyle w:val="14"/>
              <w:widowControl/>
              <w:spacing w:before="0" w:beforeAutospacing="0" w:after="0" w:afterAutospacing="0" w:line="0" w:lineRule="atLeast"/>
              <w:rPr>
                <w:color w:val="333333"/>
                <w:sz w:val="21"/>
                <w:szCs w:val="21"/>
              </w:rPr>
            </w:pPr>
            <w:r>
              <w:rPr>
                <w:rFonts w:hint="eastAsia"/>
                <w:color w:val="333333"/>
                <w:sz w:val="21"/>
                <w:szCs w:val="21"/>
              </w:rPr>
              <w:t>3.监督检查测试的有效性；</w:t>
            </w:r>
          </w:p>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color w:val="333333"/>
                <w:sz w:val="21"/>
                <w:szCs w:val="21"/>
              </w:rPr>
              <w:t>4.对验收测试结果组织评估。</w:t>
            </w:r>
          </w:p>
        </w:tc>
        <w:tc>
          <w:tcPr>
            <w:tcW w:w="1348"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验收初审意见、专家评审申请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5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eastAsia="宋体"/>
                <w:kern w:val="0"/>
                <w:sz w:val="21"/>
                <w:szCs w:val="21"/>
              </w:rPr>
            </w:pPr>
            <w:r>
              <w:rPr>
                <w:rFonts w:eastAsia="宋体"/>
                <w:kern w:val="0"/>
                <w:sz w:val="21"/>
                <w:szCs w:val="21"/>
              </w:rPr>
              <w:t>5</w:t>
            </w:r>
          </w:p>
        </w:tc>
        <w:tc>
          <w:tcPr>
            <w:tcW w:w="791" w:type="dxa"/>
            <w:vMerge w:val="continue"/>
            <w:tcBorders>
              <w:left w:val="nil"/>
              <w:right w:val="single" w:color="auto" w:sz="4" w:space="0"/>
            </w:tcBorders>
            <w:vAlign w:val="center"/>
          </w:tcPr>
          <w:p>
            <w:pPr>
              <w:spacing w:line="0" w:lineRule="atLeast"/>
              <w:jc w:val="left"/>
              <w:rPr>
                <w:rFonts w:hint="eastAsia" w:ascii="宋体" w:hAnsi="宋体" w:eastAsia="宋体" w:cs="宋体"/>
                <w:kern w:val="0"/>
                <w:sz w:val="21"/>
                <w:szCs w:val="21"/>
              </w:rPr>
            </w:pPr>
          </w:p>
        </w:tc>
        <w:tc>
          <w:tcPr>
            <w:tcW w:w="670"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试运行监控服务</w:t>
            </w:r>
          </w:p>
        </w:tc>
        <w:tc>
          <w:tcPr>
            <w:tcW w:w="6251"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color w:val="333333"/>
                <w:sz w:val="21"/>
                <w:szCs w:val="21"/>
              </w:rPr>
            </w:pPr>
            <w:r>
              <w:rPr>
                <w:rFonts w:hint="eastAsia"/>
                <w:color w:val="333333"/>
                <w:sz w:val="21"/>
                <w:szCs w:val="21"/>
              </w:rPr>
              <w:t>1.督促项目承建方提交详细可实施的系统试运行计划；</w:t>
            </w:r>
          </w:p>
          <w:p>
            <w:pPr>
              <w:pStyle w:val="14"/>
              <w:widowControl/>
              <w:spacing w:before="0" w:beforeAutospacing="0" w:after="0" w:afterAutospacing="0" w:line="0" w:lineRule="atLeast"/>
              <w:rPr>
                <w:color w:val="333333"/>
                <w:sz w:val="21"/>
                <w:szCs w:val="21"/>
              </w:rPr>
            </w:pPr>
            <w:r>
              <w:rPr>
                <w:rFonts w:hint="eastAsia"/>
                <w:color w:val="333333"/>
                <w:sz w:val="21"/>
                <w:szCs w:val="21"/>
              </w:rPr>
              <w:t>2.协助采购人监督项目承建方的系统安装活动，观察系统运行情况，记录系统安装和运行时的结果情况；</w:t>
            </w:r>
          </w:p>
          <w:p>
            <w:pPr>
              <w:pStyle w:val="14"/>
              <w:widowControl/>
              <w:spacing w:before="0" w:beforeAutospacing="0" w:after="0" w:afterAutospacing="0" w:line="0" w:lineRule="atLeast"/>
              <w:rPr>
                <w:color w:val="333333"/>
                <w:sz w:val="21"/>
                <w:szCs w:val="21"/>
              </w:rPr>
            </w:pPr>
            <w:r>
              <w:rPr>
                <w:rFonts w:hint="eastAsia"/>
                <w:color w:val="333333"/>
                <w:sz w:val="21"/>
                <w:szCs w:val="21"/>
              </w:rPr>
              <w:t>3.检测验证系统功能、性能与合同的符合性；</w:t>
            </w:r>
          </w:p>
          <w:p>
            <w:pPr>
              <w:pStyle w:val="14"/>
              <w:widowControl/>
              <w:spacing w:before="0" w:beforeAutospacing="0" w:after="0" w:afterAutospacing="0" w:line="0" w:lineRule="atLeast"/>
              <w:rPr>
                <w:color w:val="333333"/>
                <w:sz w:val="21"/>
                <w:szCs w:val="21"/>
              </w:rPr>
            </w:pPr>
            <w:r>
              <w:rPr>
                <w:rFonts w:hint="eastAsia"/>
                <w:color w:val="333333"/>
                <w:sz w:val="21"/>
                <w:szCs w:val="21"/>
              </w:rPr>
              <w:t>4.监督系统网站运营维护情况，监督平台宣传推广工作执行情况；</w:t>
            </w:r>
          </w:p>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color w:val="333333"/>
                <w:sz w:val="21"/>
                <w:szCs w:val="21"/>
              </w:rPr>
              <w:t>5.如果试运行期间发现的问题和不合格项，形成监理意见，协助采购人审核项目承建方提交的整改方案，并监督落实。</w:t>
            </w:r>
          </w:p>
        </w:tc>
        <w:tc>
          <w:tcPr>
            <w:tcW w:w="1348"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试运行方案、评审意见、试运行跟踪表、试运行报告确认单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5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eastAsia="宋体"/>
                <w:kern w:val="0"/>
                <w:sz w:val="21"/>
                <w:szCs w:val="21"/>
              </w:rPr>
            </w:pPr>
            <w:r>
              <w:rPr>
                <w:rFonts w:eastAsia="宋体"/>
                <w:kern w:val="0"/>
                <w:sz w:val="21"/>
                <w:szCs w:val="21"/>
              </w:rPr>
              <w:t>6</w:t>
            </w:r>
          </w:p>
        </w:tc>
        <w:tc>
          <w:tcPr>
            <w:tcW w:w="791" w:type="dxa"/>
            <w:vMerge w:val="continue"/>
            <w:tcBorders>
              <w:left w:val="nil"/>
              <w:bottom w:val="single" w:color="auto" w:sz="4" w:space="0"/>
              <w:right w:val="single" w:color="auto" w:sz="4" w:space="0"/>
            </w:tcBorders>
            <w:vAlign w:val="center"/>
          </w:tcPr>
          <w:p>
            <w:pPr>
              <w:spacing w:line="0" w:lineRule="atLeast"/>
              <w:jc w:val="left"/>
              <w:rPr>
                <w:rFonts w:hint="eastAsia" w:ascii="宋体" w:hAnsi="宋体" w:eastAsia="宋体" w:cs="宋体"/>
                <w:kern w:val="0"/>
                <w:sz w:val="21"/>
                <w:szCs w:val="21"/>
              </w:rPr>
            </w:pPr>
          </w:p>
        </w:tc>
        <w:tc>
          <w:tcPr>
            <w:tcW w:w="670"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项目终验服务</w:t>
            </w:r>
          </w:p>
        </w:tc>
        <w:tc>
          <w:tcPr>
            <w:tcW w:w="6251"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color w:val="333333"/>
                <w:sz w:val="21"/>
                <w:szCs w:val="21"/>
              </w:rPr>
            </w:pPr>
            <w:r>
              <w:rPr>
                <w:rFonts w:hint="eastAsia"/>
                <w:color w:val="333333"/>
                <w:sz w:val="21"/>
                <w:szCs w:val="21"/>
              </w:rPr>
              <w:t>1.协助采购人结合合同及内控制度要求制定验收流程、标准；</w:t>
            </w:r>
          </w:p>
          <w:p>
            <w:pPr>
              <w:pStyle w:val="14"/>
              <w:widowControl/>
              <w:spacing w:before="0" w:beforeAutospacing="0" w:after="0" w:afterAutospacing="0" w:line="0" w:lineRule="atLeast"/>
              <w:rPr>
                <w:color w:val="333333"/>
                <w:sz w:val="21"/>
                <w:szCs w:val="21"/>
              </w:rPr>
            </w:pPr>
            <w:r>
              <w:rPr>
                <w:rFonts w:hint="eastAsia"/>
                <w:color w:val="333333"/>
                <w:sz w:val="21"/>
                <w:szCs w:val="21"/>
              </w:rPr>
              <w:t>2.审核项目承建方提交的终验申请，并核验项目是否满足终验条件；</w:t>
            </w:r>
          </w:p>
          <w:p>
            <w:pPr>
              <w:pStyle w:val="14"/>
              <w:widowControl/>
              <w:spacing w:before="0" w:beforeAutospacing="0" w:after="0" w:afterAutospacing="0" w:line="0" w:lineRule="atLeast"/>
              <w:rPr>
                <w:color w:val="333333"/>
                <w:sz w:val="21"/>
                <w:szCs w:val="21"/>
              </w:rPr>
            </w:pPr>
            <w:r>
              <w:rPr>
                <w:rFonts w:hint="eastAsia"/>
                <w:color w:val="333333"/>
                <w:sz w:val="21"/>
                <w:szCs w:val="21"/>
              </w:rPr>
              <w:t>3.要求项目承建方提交终验方案，并审核终验方案；</w:t>
            </w:r>
          </w:p>
          <w:p>
            <w:pPr>
              <w:pStyle w:val="14"/>
              <w:widowControl/>
              <w:spacing w:before="0" w:beforeAutospacing="0" w:after="0" w:afterAutospacing="0" w:line="0" w:lineRule="atLeast"/>
              <w:rPr>
                <w:color w:val="333333"/>
                <w:sz w:val="21"/>
                <w:szCs w:val="21"/>
              </w:rPr>
            </w:pPr>
            <w:r>
              <w:rPr>
                <w:rFonts w:hint="eastAsia"/>
                <w:color w:val="333333"/>
                <w:sz w:val="21"/>
                <w:szCs w:val="21"/>
              </w:rPr>
              <w:t>4.协助采购人邀请验收专家，协调终验评审会的召开；</w:t>
            </w:r>
          </w:p>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color w:val="333333"/>
                <w:sz w:val="21"/>
                <w:szCs w:val="21"/>
              </w:rPr>
              <w:t>5.参与终验，汇总备案验收活动结果形成的文档，督促供应商解决终验中发现的问题和不合格项，最终签署终验报告。</w:t>
            </w:r>
          </w:p>
        </w:tc>
        <w:tc>
          <w:tcPr>
            <w:tcW w:w="1348" w:type="dxa"/>
            <w:tcBorders>
              <w:top w:val="single" w:color="auto" w:sz="4" w:space="0"/>
              <w:left w:val="nil"/>
              <w:bottom w:val="single" w:color="auto" w:sz="4" w:space="0"/>
              <w:right w:val="single" w:color="auto" w:sz="4" w:space="0"/>
            </w:tcBorders>
            <w:vAlign w:val="center"/>
          </w:tcPr>
          <w:p>
            <w:pPr>
              <w:pStyle w:val="14"/>
              <w:widowControl/>
              <w:spacing w:before="0" w:beforeAutospacing="0" w:after="0" w:afterAutospacing="0" w:line="0" w:lineRule="atLeast"/>
              <w:rPr>
                <w:rFonts w:hint="eastAsia" w:ascii="方正仿宋_GBK" w:hAnsi="方正仿宋_GBK" w:cs="方正仿宋_GBK"/>
                <w:color w:val="333333"/>
                <w:sz w:val="21"/>
                <w:szCs w:val="21"/>
              </w:rPr>
            </w:pPr>
            <w:r>
              <w:rPr>
                <w:rFonts w:hint="eastAsia" w:ascii="方正仿宋_GBK" w:hAnsi="方正仿宋_GBK" w:cs="方正仿宋_GBK"/>
                <w:color w:val="333333"/>
                <w:sz w:val="21"/>
                <w:szCs w:val="21"/>
              </w:rPr>
              <w:t>验收专家评审意见确认单、项目验收报告</w:t>
            </w:r>
          </w:p>
        </w:tc>
      </w:tr>
    </w:tbl>
    <w:p>
      <w:pPr>
        <w:numPr>
          <w:ilvl w:val="-1"/>
          <w:numId w:val="0"/>
        </w:numPr>
        <w:spacing w:line="600" w:lineRule="exact"/>
        <w:ind w:firstLine="640" w:firstLineChars="200"/>
        <w:jc w:val="left"/>
        <w:rPr>
          <w:rFonts w:hint="eastAsia"/>
          <w:highlight w:val="none"/>
          <w:lang w:val="en-US" w:eastAsia="zh-CN"/>
        </w:rPr>
      </w:pPr>
      <w:r>
        <w:rPr>
          <w:rFonts w:hint="eastAsia"/>
          <w:highlight w:val="none"/>
          <w:lang w:val="en-US" w:eastAsia="zh-CN"/>
        </w:rPr>
        <w:t>13.服务期、地点及验收方式：</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kern w:val="2"/>
          <w:sz w:val="32"/>
          <w:szCs w:val="22"/>
          <w:highlight w:val="none"/>
          <w:lang w:val="en-US" w:eastAsia="zh-CN" w:bidi="ar-SA"/>
        </w:rPr>
      </w:pPr>
      <w:r>
        <w:rPr>
          <w:rFonts w:hint="eastAsia" w:cs="Times New Roman"/>
          <w:kern w:val="2"/>
          <w:sz w:val="32"/>
          <w:szCs w:val="22"/>
          <w:highlight w:val="none"/>
          <w:lang w:val="en-US" w:eastAsia="zh-CN" w:bidi="ar-SA"/>
        </w:rPr>
        <w:t>（1）</w:t>
      </w:r>
      <w:r>
        <w:rPr>
          <w:rFonts w:hint="eastAsia" w:ascii="Times New Roman" w:hAnsi="Times New Roman" w:eastAsia="方正仿宋_GBK" w:cs="Times New Roman"/>
          <w:kern w:val="2"/>
          <w:sz w:val="32"/>
          <w:szCs w:val="22"/>
          <w:highlight w:val="none"/>
          <w:lang w:val="en-US" w:eastAsia="zh-CN" w:bidi="ar-SA"/>
        </w:rPr>
        <w:t>服务期：自项目建设实施到项目最终验收为止</w:t>
      </w:r>
      <w:r>
        <w:rPr>
          <w:rFonts w:hint="eastAsia" w:cs="Times New Roman"/>
          <w:kern w:val="2"/>
          <w:sz w:val="32"/>
          <w:szCs w:val="22"/>
          <w:highlight w:val="none"/>
          <w:lang w:val="en-US" w:eastAsia="zh-CN" w:bidi="ar-SA"/>
        </w:rPr>
        <w:t>；</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kern w:val="2"/>
          <w:sz w:val="32"/>
          <w:szCs w:val="22"/>
          <w:highlight w:val="none"/>
          <w:lang w:val="en-US" w:eastAsia="zh-CN" w:bidi="ar-SA"/>
        </w:rPr>
      </w:pPr>
      <w:r>
        <w:rPr>
          <w:rFonts w:hint="eastAsia" w:cs="Times New Roman"/>
          <w:kern w:val="2"/>
          <w:sz w:val="32"/>
          <w:szCs w:val="22"/>
          <w:highlight w:val="none"/>
          <w:lang w:val="en-US" w:eastAsia="zh-CN" w:bidi="ar-SA"/>
        </w:rPr>
        <w:t>（2）</w:t>
      </w:r>
      <w:r>
        <w:rPr>
          <w:rFonts w:hint="eastAsia" w:ascii="Times New Roman" w:hAnsi="Times New Roman" w:eastAsia="方正仿宋_GBK" w:cs="Times New Roman"/>
          <w:kern w:val="2"/>
          <w:sz w:val="32"/>
          <w:szCs w:val="22"/>
          <w:highlight w:val="none"/>
          <w:lang w:val="en-US" w:eastAsia="zh-CN" w:bidi="ar-SA"/>
        </w:rPr>
        <w:t>服务地点：重庆市范围内采购人指定地点</w:t>
      </w:r>
      <w:r>
        <w:rPr>
          <w:rFonts w:hint="eastAsia" w:cs="Times New Roman"/>
          <w:kern w:val="2"/>
          <w:sz w:val="32"/>
          <w:szCs w:val="22"/>
          <w:highlight w:val="none"/>
          <w:lang w:val="en-US" w:eastAsia="zh-CN" w:bidi="ar-SA"/>
        </w:rPr>
        <w:t>；</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highlight w:val="none"/>
          <w:lang w:val="en-US" w:eastAsia="zh-CN"/>
        </w:rPr>
      </w:pPr>
      <w:r>
        <w:rPr>
          <w:rFonts w:hint="eastAsia" w:cs="Times New Roman"/>
          <w:kern w:val="2"/>
          <w:sz w:val="32"/>
          <w:szCs w:val="22"/>
          <w:highlight w:val="none"/>
          <w:lang w:val="en-US" w:eastAsia="zh-CN" w:bidi="ar-SA"/>
        </w:rPr>
        <w:t>（3）</w:t>
      </w:r>
      <w:r>
        <w:rPr>
          <w:rFonts w:hint="eastAsia" w:ascii="Times New Roman" w:hAnsi="Times New Roman" w:eastAsia="方正仿宋_GBK" w:cs="Times New Roman"/>
          <w:kern w:val="2"/>
          <w:sz w:val="32"/>
          <w:szCs w:val="22"/>
          <w:highlight w:val="none"/>
          <w:lang w:val="en-US" w:eastAsia="zh-CN" w:bidi="ar-SA"/>
        </w:rPr>
        <w:t>验收方式：严格执行国家、地方及行业现行相关标准、规范要求，满足采购人要求。</w:t>
      </w:r>
    </w:p>
    <w:p>
      <w:pPr>
        <w:numPr>
          <w:ilvl w:val="-1"/>
          <w:numId w:val="0"/>
        </w:numPr>
        <w:spacing w:line="600" w:lineRule="exact"/>
        <w:ind w:firstLine="640" w:firstLineChars="200"/>
        <w:jc w:val="left"/>
        <w:rPr>
          <w:rFonts w:hint="default"/>
          <w:highlight w:val="none"/>
          <w:lang w:val="en-US" w:eastAsia="zh-CN"/>
        </w:rPr>
      </w:pPr>
      <w:r>
        <w:rPr>
          <w:rFonts w:hint="eastAsia"/>
          <w:highlight w:val="none"/>
          <w:lang w:val="en-US" w:eastAsia="zh-CN"/>
        </w:rPr>
        <w:t>14.付款方式：</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cs="Times New Roman"/>
          <w:kern w:val="2"/>
          <w:sz w:val="32"/>
          <w:szCs w:val="22"/>
          <w:highlight w:val="none"/>
          <w:lang w:val="en-US" w:eastAsia="zh-CN" w:bidi="ar-SA"/>
        </w:rPr>
      </w:pPr>
      <w:r>
        <w:rPr>
          <w:rFonts w:hint="eastAsia" w:ascii="方正仿宋_GBK" w:hAnsi="方正仿宋_GBK" w:cs="方正仿宋_GBK"/>
          <w:strike w:val="0"/>
          <w:dstrike w:val="0"/>
          <w:sz w:val="32"/>
          <w:szCs w:val="32"/>
          <w:lang w:val="en-US" w:eastAsia="zh-CN"/>
        </w:rPr>
        <w:t>结算监理服务费</w:t>
      </w:r>
      <w:r>
        <w:rPr>
          <w:rFonts w:hint="eastAsia" w:cs="Times New Roman"/>
          <w:kern w:val="2"/>
          <w:sz w:val="32"/>
          <w:szCs w:val="22"/>
          <w:highlight w:val="none"/>
          <w:lang w:val="en-US" w:eastAsia="zh-CN" w:bidi="ar-SA"/>
        </w:rPr>
        <w:t>分两期支付。每期付款前，成交供应商均应先行开具等额增值税专用发票；采购人收到合规发票后，按下列约定支付：</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cs="Times New Roman"/>
          <w:kern w:val="2"/>
          <w:sz w:val="32"/>
          <w:szCs w:val="22"/>
          <w:highlight w:val="none"/>
          <w:lang w:val="en-US" w:eastAsia="zh-CN" w:bidi="ar-SA"/>
        </w:rPr>
      </w:pPr>
      <w:r>
        <w:rPr>
          <w:rFonts w:hint="eastAsia" w:cs="Times New Roman"/>
          <w:kern w:val="2"/>
          <w:sz w:val="32"/>
          <w:szCs w:val="22"/>
          <w:highlight w:val="none"/>
          <w:lang w:val="en-US" w:eastAsia="zh-CN" w:bidi="ar-SA"/>
        </w:rPr>
        <w:t>（1）第一期，支付</w:t>
      </w:r>
      <w:r>
        <w:rPr>
          <w:rFonts w:hint="eastAsia" w:ascii="方正仿宋_GBK" w:hAnsi="方正仿宋_GBK" w:cs="方正仿宋_GBK"/>
          <w:strike w:val="0"/>
          <w:dstrike w:val="0"/>
          <w:sz w:val="32"/>
          <w:szCs w:val="32"/>
          <w:lang w:val="en-US" w:eastAsia="zh-CN"/>
        </w:rPr>
        <w:t>结算监理服务费</w:t>
      </w:r>
      <w:r>
        <w:rPr>
          <w:rFonts w:hint="eastAsia" w:cs="Times New Roman"/>
          <w:kern w:val="2"/>
          <w:sz w:val="32"/>
          <w:szCs w:val="22"/>
          <w:highlight w:val="none"/>
          <w:lang w:val="en-US" w:eastAsia="zh-CN" w:bidi="ar-SA"/>
        </w:rPr>
        <w:t>的95%。具备下列条件后10个工作日内支付：合同已签订，项目通过采购人组织的竣工验收，成交供应商按合同约定提交全套监理工作成果资料并经采购人审核确认。</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cs="Times New Roman"/>
          <w:kern w:val="2"/>
          <w:sz w:val="32"/>
          <w:szCs w:val="22"/>
          <w:highlight w:val="none"/>
          <w:lang w:val="en-US" w:eastAsia="zh-CN" w:bidi="ar-SA"/>
        </w:rPr>
      </w:pPr>
      <w:r>
        <w:rPr>
          <w:rFonts w:hint="eastAsia" w:cs="Times New Roman"/>
          <w:kern w:val="2"/>
          <w:sz w:val="32"/>
          <w:szCs w:val="22"/>
          <w:highlight w:val="none"/>
          <w:lang w:val="en-US" w:eastAsia="zh-CN" w:bidi="ar-SA"/>
        </w:rPr>
        <w:t>（2）第二期，支付</w:t>
      </w:r>
      <w:r>
        <w:rPr>
          <w:rFonts w:hint="eastAsia" w:ascii="方正仿宋_GBK" w:hAnsi="方正仿宋_GBK" w:cs="方正仿宋_GBK"/>
          <w:strike w:val="0"/>
          <w:dstrike w:val="0"/>
          <w:sz w:val="32"/>
          <w:szCs w:val="32"/>
          <w:lang w:val="en-US" w:eastAsia="zh-CN"/>
        </w:rPr>
        <w:t>结算监理服务费</w:t>
      </w:r>
      <w:r>
        <w:rPr>
          <w:rFonts w:hint="eastAsia" w:cs="Times New Roman"/>
          <w:kern w:val="2"/>
          <w:sz w:val="32"/>
          <w:szCs w:val="22"/>
          <w:highlight w:val="none"/>
          <w:lang w:val="en-US" w:eastAsia="zh-CN" w:bidi="ar-SA"/>
        </w:rPr>
        <w:t>的5%。具备下列条件后10个工作日内支付：项目完成结算审计，以采购人或其委托审计机构出具的结算审计结论为准；成交供应商按合同约定移交全套建设工作成果资料，并经采购人审核确认；缺陷责任期满，监理服务全部履行完毕，且无未整改事项。本条所称缺陷责任期，即项目成交供应商所提供的免费质保期。</w:t>
      </w:r>
    </w:p>
    <w:p>
      <w:pPr>
        <w:snapToGrid w:val="0"/>
        <w:spacing w:line="600" w:lineRule="exact"/>
        <w:ind w:firstLine="640" w:firstLineChars="200"/>
        <w:jc w:val="left"/>
        <w:rPr>
          <w:rFonts w:hint="eastAsia" w:ascii="方正黑体_GBK" w:hAnsi="方正黑体_GBK" w:eastAsia="方正黑体_GBK" w:cs="方正黑体_GBK"/>
          <w:szCs w:val="32"/>
        </w:rPr>
      </w:pPr>
      <w:r>
        <w:rPr>
          <w:rFonts w:hint="eastAsia" w:ascii="方正黑体_GBK" w:hAnsi="方正黑体_GBK" w:eastAsia="方正黑体_GBK" w:cs="方正黑体_GBK"/>
          <w:szCs w:val="32"/>
        </w:rPr>
        <w:t>三、采购最高限价</w:t>
      </w:r>
    </w:p>
    <w:p>
      <w:pPr>
        <w:pStyle w:val="23"/>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方正仿宋_GBK" w:hAnsi="方正仿宋_GBK" w:cs="方正仿宋_GBK"/>
          <w:strike w:val="0"/>
          <w:dstrike w:val="0"/>
          <w:sz w:val="32"/>
          <w:szCs w:val="32"/>
          <w:lang w:val="en-US" w:eastAsia="zh-CN"/>
        </w:rPr>
      </w:pPr>
      <w:r>
        <w:rPr>
          <w:rFonts w:hint="eastAsia" w:ascii="方正仿宋_GBK" w:hAnsi="方正仿宋_GBK" w:cs="方正仿宋_GBK"/>
          <w:strike w:val="0"/>
          <w:dstrike w:val="0"/>
          <w:sz w:val="32"/>
          <w:szCs w:val="32"/>
          <w:lang w:val="en-US" w:eastAsia="zh-CN"/>
        </w:rPr>
        <w:t>本项目监理服务竞争性比选最高限价为人民币</w:t>
      </w:r>
      <w:r>
        <w:rPr>
          <w:rFonts w:hint="default" w:ascii="Times New Roman" w:hAnsi="Times New Roman" w:cs="Times New Roman"/>
          <w:strike w:val="0"/>
          <w:dstrike w:val="0"/>
          <w:sz w:val="32"/>
          <w:szCs w:val="32"/>
          <w:lang w:val="en-US" w:eastAsia="zh-CN"/>
        </w:rPr>
        <w:t>67500</w:t>
      </w:r>
      <w:r>
        <w:rPr>
          <w:rFonts w:hint="eastAsia" w:ascii="方正仿宋_GBK" w:hAnsi="方正仿宋_GBK" w:cs="方正仿宋_GBK"/>
          <w:strike w:val="0"/>
          <w:dstrike w:val="0"/>
          <w:sz w:val="32"/>
          <w:szCs w:val="32"/>
          <w:lang w:val="en-US" w:eastAsia="zh-CN"/>
        </w:rPr>
        <w:t>元（大写：陆万柒仟伍佰元整）。该限价为包干总价，涵盖完成监理服务所需的全部费用；除按本条约定在结算时予以折减外，采购人不再另行支付任何费用。鉴于上述限价以重庆市农业投资集团有限公司信息系统信创升级改造及推广项目招标控制价为计费基数测算，结算时，将以该项目中标价除以招标控制价所得系数，乘以中选监理服务费据实折减；折减后的金额为结算监理服务费，且不高于本最高限价。</w:t>
      </w:r>
    </w:p>
    <w:p>
      <w:pPr>
        <w:snapToGrid w:val="0"/>
        <w:spacing w:line="600" w:lineRule="exact"/>
        <w:ind w:firstLine="640" w:firstLineChars="200"/>
        <w:jc w:val="left"/>
        <w:rPr>
          <w:rFonts w:hint="eastAsia" w:ascii="方正黑体_GBK" w:hAnsi="方正黑体_GBK" w:eastAsia="方正黑体_GBK" w:cs="方正黑体_GBK"/>
          <w:szCs w:val="32"/>
        </w:rPr>
      </w:pPr>
      <w:r>
        <w:rPr>
          <w:rFonts w:hint="eastAsia" w:ascii="方正黑体_GBK" w:hAnsi="方正黑体_GBK" w:eastAsia="方正黑体_GBK" w:cs="方正黑体_GBK"/>
          <w:szCs w:val="32"/>
        </w:rPr>
        <w:t>四、投标人资格要求</w:t>
      </w:r>
    </w:p>
    <w:p>
      <w:pPr>
        <w:snapToGrid w:val="0"/>
        <w:spacing w:line="600" w:lineRule="exact"/>
        <w:ind w:firstLine="640" w:firstLineChars="200"/>
        <w:jc w:val="left"/>
        <w:rPr>
          <w:rFonts w:hint="eastAsia" w:ascii="方正楷体_GBK" w:hAnsi="方正楷体_GBK" w:eastAsia="方正楷体_GBK" w:cs="方正楷体_GBK"/>
          <w:szCs w:val="32"/>
        </w:rPr>
      </w:pPr>
      <w:r>
        <w:rPr>
          <w:rFonts w:hint="eastAsia" w:ascii="方正楷体_GBK" w:hAnsi="方正楷体_GBK" w:eastAsia="方正楷体_GBK" w:cs="方正楷体_GBK"/>
          <w:szCs w:val="32"/>
        </w:rPr>
        <w:t>（一）一般资格条件</w:t>
      </w:r>
    </w:p>
    <w:p>
      <w:pPr>
        <w:spacing w:line="600" w:lineRule="exact"/>
        <w:ind w:firstLine="640" w:firstLineChars="200"/>
        <w:jc w:val="left"/>
        <w:rPr>
          <w:rFonts w:hint="eastAsia" w:ascii="方正仿宋_GBK" w:hAnsi="方正仿宋_GBK" w:cs="方正仿宋_GBK"/>
          <w:szCs w:val="32"/>
        </w:rPr>
      </w:pPr>
      <w:r>
        <w:rPr>
          <w:szCs w:val="32"/>
        </w:rPr>
        <w:t>1.</w:t>
      </w:r>
      <w:r>
        <w:rPr>
          <w:rFonts w:hint="eastAsia" w:ascii="方正仿宋_GBK" w:hAnsi="方正仿宋_GBK" w:cs="方正仿宋_GBK"/>
          <w:szCs w:val="32"/>
        </w:rPr>
        <w:t>在中华人民共和国境内注册，具备有效的法人营业执照，具有独立法人资格；</w:t>
      </w:r>
    </w:p>
    <w:p>
      <w:pPr>
        <w:spacing w:line="600" w:lineRule="exact"/>
        <w:ind w:firstLine="640" w:firstLineChars="200"/>
        <w:jc w:val="left"/>
        <w:rPr>
          <w:rFonts w:hint="eastAsia" w:ascii="方正仿宋_GBK" w:hAnsi="方正仿宋_GBK" w:cs="方正仿宋_GBK"/>
          <w:szCs w:val="32"/>
        </w:rPr>
      </w:pPr>
      <w:r>
        <w:rPr>
          <w:rFonts w:hint="eastAsia"/>
          <w:szCs w:val="32"/>
        </w:rPr>
        <w:t>2.</w:t>
      </w:r>
      <w:r>
        <w:rPr>
          <w:rFonts w:hint="eastAsia" w:ascii="方正仿宋_GBK" w:hAnsi="方正仿宋_GBK" w:cs="方正仿宋_GBK"/>
          <w:szCs w:val="32"/>
        </w:rPr>
        <w:t>具有良好的商业信誉和信用状况，有依法缴纳税收和社会保障资金的良好记录；近三年内无重大违法经营活动记录，未被纳入政府采购严重违法失信名单及企业采购禁入范围，不存在法律法规规定禁止参与采购活动的情形。投标人须提供投标当期有效信用查询材料：信用中国网站（</w:t>
      </w:r>
      <w:r>
        <w:fldChar w:fldCharType="begin"/>
      </w:r>
      <w:r>
        <w:instrText xml:space="preserve"> HYPERLINK "https://link.wtturl.cn/?target=https://www.creditchina.gov.cn&amp;scene=im&amp;aid=582478&amp;lang=zh" \t "_blank" \o "autolink" </w:instrText>
      </w:r>
      <w:r>
        <w:fldChar w:fldCharType="separate"/>
      </w:r>
      <w:r>
        <w:rPr>
          <w:rFonts w:hint="eastAsia"/>
          <w:szCs w:val="32"/>
        </w:rPr>
        <w:t>www.creditchina.gov.cn</w:t>
      </w:r>
      <w:r>
        <w:rPr>
          <w:rFonts w:hint="eastAsia"/>
          <w:szCs w:val="32"/>
        </w:rPr>
        <w:fldChar w:fldCharType="end"/>
      </w:r>
      <w:r>
        <w:rPr>
          <w:rFonts w:hint="eastAsia" w:ascii="方正仿宋_GBK" w:hAnsi="方正仿宋_GBK" w:cs="方正仿宋_GBK"/>
          <w:szCs w:val="32"/>
        </w:rPr>
        <w:t>）信用查询结果打印件、中国政府采购网（</w:t>
      </w:r>
      <w:r>
        <w:fldChar w:fldCharType="begin"/>
      </w:r>
      <w:r>
        <w:instrText xml:space="preserve"> HYPERLINK "https://link.wtturl.cn/?target=https://www.ccgp.gov.cn&amp;scene=im&amp;aid=582478&amp;lang=zh" \t "_blank" \o "autolink" </w:instrText>
      </w:r>
      <w:r>
        <w:fldChar w:fldCharType="separate"/>
      </w:r>
      <w:r>
        <w:rPr>
          <w:rFonts w:hint="eastAsia"/>
          <w:szCs w:val="32"/>
        </w:rPr>
        <w:t>www.ccgp.gov.cn</w:t>
      </w:r>
      <w:r>
        <w:rPr>
          <w:rFonts w:hint="eastAsia"/>
          <w:szCs w:val="32"/>
        </w:rPr>
        <w:fldChar w:fldCharType="end"/>
      </w:r>
      <w:r>
        <w:rPr>
          <w:rFonts w:hint="eastAsia" w:ascii="方正仿宋_GBK" w:hAnsi="方正仿宋_GBK" w:cs="方正仿宋_GBK"/>
          <w:szCs w:val="32"/>
        </w:rPr>
        <w:t>）“政府采购严重违法失信行为记录名单”查询结果打印件，全部材料须加盖投标人单位公章；未按要求提供或查询结果存在有效失信记录的，资格审查不予通过；</w:t>
      </w:r>
    </w:p>
    <w:p>
      <w:pPr>
        <w:spacing w:line="600" w:lineRule="exact"/>
        <w:ind w:firstLine="640" w:firstLineChars="200"/>
        <w:jc w:val="left"/>
        <w:rPr>
          <w:rFonts w:hint="eastAsia" w:ascii="方正仿宋_GBK" w:hAnsi="方正仿宋_GBK" w:cs="方正仿宋_GBK"/>
          <w:szCs w:val="32"/>
        </w:rPr>
      </w:pPr>
      <w:r>
        <w:rPr>
          <w:rFonts w:hint="eastAsia"/>
          <w:szCs w:val="32"/>
        </w:rPr>
        <w:t>3.</w:t>
      </w:r>
      <w:r>
        <w:rPr>
          <w:rFonts w:hint="eastAsia" w:ascii="方正仿宋_GBK" w:hAnsi="方正仿宋_GBK" w:cs="方正仿宋_GBK"/>
          <w:szCs w:val="32"/>
        </w:rPr>
        <w:t>具有履行合同所必需的设备和专业技术能力；</w:t>
      </w:r>
    </w:p>
    <w:p>
      <w:pPr>
        <w:spacing w:line="600" w:lineRule="exact"/>
        <w:ind w:firstLine="640" w:firstLineChars="200"/>
        <w:jc w:val="left"/>
        <w:rPr>
          <w:rFonts w:hint="eastAsia" w:ascii="方正仿宋_GBK" w:hAnsi="方正仿宋_GBK" w:cs="方正仿宋_GBK"/>
          <w:szCs w:val="32"/>
        </w:rPr>
      </w:pPr>
      <w:r>
        <w:rPr>
          <w:rFonts w:hint="eastAsia"/>
          <w:szCs w:val="32"/>
        </w:rPr>
        <w:t>4.</w:t>
      </w:r>
      <w:r>
        <w:rPr>
          <w:rFonts w:hint="eastAsia" w:ascii="方正仿宋_GBK" w:hAnsi="方正仿宋_GBK" w:cs="方正仿宋_GBK"/>
          <w:szCs w:val="32"/>
        </w:rPr>
        <w:t>法律、行政法规规定的其他条件；</w:t>
      </w:r>
    </w:p>
    <w:p>
      <w:pPr>
        <w:spacing w:line="600" w:lineRule="exact"/>
        <w:ind w:firstLine="640" w:firstLineChars="200"/>
        <w:jc w:val="left"/>
        <w:rPr>
          <w:szCs w:val="32"/>
        </w:rPr>
      </w:pPr>
      <w:r>
        <w:rPr>
          <w:rFonts w:hint="eastAsia"/>
          <w:szCs w:val="32"/>
        </w:rPr>
        <w:t>5.凡前期已为本项目承担方案设计、预算编制或审核服务的投标人，因先期介入可能影响竞争公正，不得参与本次比选活动；</w:t>
      </w:r>
    </w:p>
    <w:p>
      <w:pPr>
        <w:spacing w:line="600" w:lineRule="exact"/>
        <w:ind w:firstLine="640" w:firstLineChars="200"/>
        <w:jc w:val="left"/>
        <w:rPr>
          <w:rFonts w:ascii="方正仿宋_GBK" w:hAnsi="方正仿宋_GBK" w:cs="方正仿宋_GBK"/>
          <w:szCs w:val="32"/>
        </w:rPr>
      </w:pPr>
      <w:r>
        <w:rPr>
          <w:rFonts w:hint="eastAsia"/>
          <w:szCs w:val="32"/>
        </w:rPr>
        <w:t>6.</w:t>
      </w:r>
      <w:r>
        <w:rPr>
          <w:rFonts w:hint="eastAsia" w:ascii="方正仿宋_GBK" w:hAnsi="方正仿宋_GBK" w:cs="方正仿宋_GBK"/>
          <w:szCs w:val="32"/>
        </w:rPr>
        <w:t>本次竞争性比选不接受联合体投标。</w:t>
      </w:r>
    </w:p>
    <w:p>
      <w:pPr>
        <w:snapToGrid w:val="0"/>
        <w:spacing w:line="600" w:lineRule="exact"/>
        <w:ind w:firstLine="640" w:firstLineChars="200"/>
        <w:jc w:val="left"/>
        <w:rPr>
          <w:rFonts w:hint="eastAsia" w:ascii="方正楷体_GBK" w:hAnsi="方正楷体_GBK" w:eastAsia="方正楷体_GBK" w:cs="方正楷体_GBK"/>
          <w:szCs w:val="32"/>
        </w:rPr>
      </w:pPr>
      <w:r>
        <w:rPr>
          <w:rFonts w:hint="eastAsia" w:ascii="方正楷体_GBK" w:hAnsi="方正楷体_GBK" w:eastAsia="方正楷体_GBK" w:cs="方正楷体_GBK"/>
          <w:szCs w:val="32"/>
        </w:rPr>
        <w:t>（</w:t>
      </w:r>
      <w:r>
        <w:rPr>
          <w:rFonts w:hint="eastAsia" w:ascii="方正楷体_GBK" w:hAnsi="方正楷体_GBK" w:eastAsia="方正楷体_GBK" w:cs="方正楷体_GBK"/>
          <w:szCs w:val="32"/>
          <w:lang w:val="en-US" w:eastAsia="zh-CN"/>
        </w:rPr>
        <w:t>二</w:t>
      </w:r>
      <w:r>
        <w:rPr>
          <w:rFonts w:hint="eastAsia" w:ascii="方正楷体_GBK" w:hAnsi="方正楷体_GBK" w:eastAsia="方正楷体_GBK" w:cs="方正楷体_GBK"/>
          <w:szCs w:val="32"/>
        </w:rPr>
        <w:t>）人员要求</w:t>
      </w:r>
    </w:p>
    <w:p>
      <w:pPr>
        <w:snapToGrid w:val="0"/>
        <w:spacing w:line="600" w:lineRule="exact"/>
        <w:ind w:firstLine="640" w:firstLineChars="200"/>
        <w:jc w:val="left"/>
        <w:rPr>
          <w:rFonts w:hint="eastAsia"/>
          <w:szCs w:val="32"/>
        </w:rPr>
      </w:pPr>
      <w:r>
        <w:rPr>
          <w:rFonts w:hint="eastAsia"/>
          <w:szCs w:val="32"/>
        </w:rPr>
        <w:t>本项目须组建不少于2人的专业监理团队，至少配备总监理工程师1名、监理工程师1名。总监理工程师须持有人力资源和社会保障部、工业和信息化部颁发的信息系统监理师资格证书。投标人须提供下列材料并加盖单位公章：</w:t>
      </w:r>
    </w:p>
    <w:p>
      <w:pPr>
        <w:snapToGrid w:val="0"/>
        <w:spacing w:line="600" w:lineRule="exact"/>
        <w:ind w:firstLine="640" w:firstLineChars="200"/>
        <w:jc w:val="left"/>
        <w:rPr>
          <w:rFonts w:hint="eastAsia"/>
          <w:szCs w:val="32"/>
        </w:rPr>
      </w:pPr>
      <w:r>
        <w:rPr>
          <w:rFonts w:hint="eastAsia"/>
          <w:szCs w:val="32"/>
        </w:rPr>
        <w:t>1.监理团队人员配备表（格式自拟）；</w:t>
      </w:r>
    </w:p>
    <w:p>
      <w:pPr>
        <w:snapToGrid w:val="0"/>
        <w:spacing w:line="600" w:lineRule="exact"/>
        <w:ind w:firstLine="640" w:firstLineChars="200"/>
        <w:jc w:val="left"/>
        <w:rPr>
          <w:rFonts w:hint="eastAsia"/>
          <w:szCs w:val="32"/>
        </w:rPr>
      </w:pPr>
      <w:r>
        <w:rPr>
          <w:rFonts w:hint="eastAsia"/>
          <w:szCs w:val="32"/>
        </w:rPr>
        <w:t>2.总监理工程师资格证书复印件，并加盖投标人单位公章；</w:t>
      </w:r>
    </w:p>
    <w:p>
      <w:pPr>
        <w:snapToGrid w:val="0"/>
        <w:spacing w:line="600" w:lineRule="exact"/>
        <w:ind w:firstLine="640" w:firstLineChars="200"/>
        <w:jc w:val="left"/>
        <w:rPr>
          <w:rFonts w:hint="eastAsia"/>
          <w:szCs w:val="32"/>
        </w:rPr>
      </w:pPr>
      <w:r>
        <w:rPr>
          <w:rFonts w:hint="eastAsia"/>
          <w:szCs w:val="32"/>
        </w:rPr>
        <w:t>3.投标人为总监理工程师缴纳的2026年最近3个月养老保险证明材料，并加盖投标人单位公章。</w:t>
      </w:r>
    </w:p>
    <w:p>
      <w:pPr>
        <w:snapToGrid w:val="0"/>
        <w:spacing w:line="600" w:lineRule="exact"/>
        <w:ind w:firstLine="640" w:firstLineChars="200"/>
        <w:jc w:val="left"/>
        <w:rPr>
          <w:rFonts w:hint="eastAsia" w:ascii="方正楷体_GBK" w:hAnsi="方正楷体_GBK" w:eastAsia="方正楷体_GBK" w:cs="方正楷体_GBK"/>
          <w:szCs w:val="32"/>
        </w:rPr>
      </w:pPr>
      <w:r>
        <w:rPr>
          <w:rFonts w:hint="eastAsia" w:ascii="方正楷体_GBK" w:hAnsi="方正楷体_GBK" w:eastAsia="方正楷体_GBK" w:cs="方正楷体_GBK"/>
          <w:szCs w:val="32"/>
        </w:rPr>
        <w:t>（</w:t>
      </w:r>
      <w:r>
        <w:rPr>
          <w:rFonts w:hint="eastAsia" w:ascii="方正楷体_GBK" w:hAnsi="方正楷体_GBK" w:eastAsia="方正楷体_GBK" w:cs="方正楷体_GBK"/>
          <w:szCs w:val="32"/>
          <w:lang w:val="en-US" w:eastAsia="zh-CN"/>
        </w:rPr>
        <w:t>三</w:t>
      </w:r>
      <w:r>
        <w:rPr>
          <w:rFonts w:hint="eastAsia" w:ascii="方正楷体_GBK" w:hAnsi="方正楷体_GBK" w:eastAsia="方正楷体_GBK" w:cs="方正楷体_GBK"/>
          <w:szCs w:val="32"/>
        </w:rPr>
        <w:t>）业绩要求</w:t>
      </w:r>
    </w:p>
    <w:p>
      <w:pPr>
        <w:pStyle w:val="14"/>
        <w:widowControl/>
        <w:spacing w:before="0" w:beforeAutospacing="0" w:after="0" w:afterAutospacing="0" w:line="600" w:lineRule="exact"/>
        <w:ind w:firstLine="640" w:firstLineChars="200"/>
        <w:rPr>
          <w:szCs w:val="32"/>
        </w:rPr>
      </w:pPr>
      <w:r>
        <w:rPr>
          <w:rFonts w:hint="eastAsia"/>
          <w:kern w:val="2"/>
          <w:sz w:val="32"/>
          <w:szCs w:val="32"/>
        </w:rPr>
        <w:t>投标人自2023年1月1日以来（合同签订时间为准）完成过类似信息化建设或数字化建设项目监理业绩。（注：须提供相应业绩的中标（成交）通知书和合同复印件加盖投标人公章）</w:t>
      </w:r>
    </w:p>
    <w:p>
      <w:pPr>
        <w:snapToGrid w:val="0"/>
        <w:spacing w:line="600" w:lineRule="exact"/>
        <w:ind w:firstLine="640" w:firstLineChars="200"/>
        <w:jc w:val="left"/>
        <w:rPr>
          <w:rFonts w:hint="eastAsia" w:ascii="方正黑体_GBK" w:hAnsi="方正黑体_GBK" w:eastAsia="方正黑体_GBK" w:cs="方正黑体_GBK"/>
          <w:szCs w:val="32"/>
        </w:rPr>
      </w:pPr>
      <w:r>
        <w:rPr>
          <w:rFonts w:hint="eastAsia" w:ascii="方正黑体_GBK" w:hAnsi="方正黑体_GBK" w:eastAsia="方正黑体_GBK" w:cs="方正黑体_GBK"/>
          <w:szCs w:val="32"/>
        </w:rPr>
        <w:t>五、采购评审原则</w:t>
      </w:r>
    </w:p>
    <w:p>
      <w:pPr>
        <w:keepNext w:val="0"/>
        <w:keepLines w:val="0"/>
        <w:pageBreakBefore w:val="0"/>
        <w:kinsoku/>
        <w:wordWrap/>
        <w:overflowPunct/>
        <w:topLinePunct w:val="0"/>
        <w:autoSpaceDE/>
        <w:autoSpaceDN/>
        <w:bidi w:val="0"/>
        <w:adjustRightInd/>
        <w:snapToGrid/>
        <w:spacing w:line="600" w:lineRule="exact"/>
        <w:ind w:leftChars="0" w:firstLine="640" w:firstLineChars="200"/>
        <w:jc w:val="left"/>
        <w:textAlignment w:val="auto"/>
        <w:outlineLvl w:val="9"/>
        <w:rPr>
          <w:rFonts w:hint="eastAsia" w:ascii="方正仿宋_GBK" w:hAnsi="方正仿宋_GBK" w:eastAsia="方正仿宋_GBK" w:cs="方正仿宋_GBK"/>
          <w:color w:val="auto"/>
          <w:spacing w:val="0"/>
          <w:sz w:val="32"/>
          <w:szCs w:val="32"/>
          <w:lang w:val="en-US" w:eastAsia="zh-CN"/>
        </w:rPr>
      </w:pPr>
      <w:r>
        <w:rPr>
          <w:rFonts w:hint="eastAsia" w:ascii="方正仿宋_GBK" w:hAnsi="方正仿宋_GBK" w:cs="方正仿宋_GBK"/>
          <w:color w:val="auto"/>
          <w:spacing w:val="0"/>
          <w:sz w:val="32"/>
          <w:szCs w:val="32"/>
          <w:lang w:val="en-US" w:eastAsia="zh-CN"/>
        </w:rPr>
        <w:t>（一）</w:t>
      </w:r>
      <w:r>
        <w:rPr>
          <w:rFonts w:hint="eastAsia" w:ascii="方正仿宋_GBK" w:hAnsi="方正仿宋_GBK" w:eastAsia="方正仿宋_GBK" w:cs="方正仿宋_GBK"/>
          <w:color w:val="auto"/>
          <w:spacing w:val="0"/>
          <w:sz w:val="32"/>
          <w:szCs w:val="32"/>
          <w:lang w:val="en-US" w:eastAsia="zh-CN"/>
        </w:rPr>
        <w:t>在满足比选公告载明的投标人资格要求前提下，采用综合评分法确定中选单位。总评分排名第一者为中标单位；若出现并列第一，则以报价低者中标。</w:t>
      </w:r>
    </w:p>
    <w:p>
      <w:pPr>
        <w:spacing w:line="594" w:lineRule="exact"/>
        <w:ind w:left="0" w:leftChars="0" w:firstLine="640" w:firstLineChars="200"/>
        <w:jc w:val="left"/>
        <w:rPr>
          <w:rFonts w:hint="default" w:cs="Times New Roman"/>
          <w:spacing w:val="0"/>
          <w:sz w:val="32"/>
          <w:szCs w:val="32"/>
          <w:lang w:val="en-US" w:eastAsia="zh-CN"/>
        </w:rPr>
      </w:pPr>
      <w:r>
        <w:rPr>
          <w:rFonts w:hint="eastAsia" w:cs="Times New Roman"/>
          <w:spacing w:val="0"/>
          <w:sz w:val="32"/>
          <w:szCs w:val="32"/>
          <w:lang w:val="en-US" w:eastAsia="zh-CN"/>
        </w:rPr>
        <w:t>（二）</w:t>
      </w:r>
      <w:r>
        <w:rPr>
          <w:rFonts w:hint="default" w:cs="Times New Roman"/>
          <w:color w:val="auto"/>
          <w:spacing w:val="0"/>
          <w:sz w:val="32"/>
          <w:szCs w:val="32"/>
          <w:lang w:val="en-US" w:eastAsia="zh-CN"/>
        </w:rPr>
        <w:t>各供应商的最终得分为评审小组成员的算术平均分；按最终得分由高至低依次排序，形成中选候选人名单（原则上不超过3名）。</w:t>
      </w:r>
    </w:p>
    <w:p>
      <w:pPr>
        <w:snapToGrid w:val="0"/>
        <w:spacing w:line="600" w:lineRule="exact"/>
        <w:ind w:firstLine="640" w:firstLineChars="200"/>
        <w:jc w:val="left"/>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六、采购评分办法</w:t>
      </w:r>
    </w:p>
    <w:p>
      <w:pPr>
        <w:spacing w:line="600" w:lineRule="exact"/>
        <w:ind w:firstLine="640" w:firstLineChars="200"/>
        <w:jc w:val="left"/>
        <w:rPr>
          <w:rFonts w:hint="eastAsia" w:ascii="方正黑体_GBK" w:hAnsi="方正黑体_GBK" w:eastAsia="方正黑体_GBK" w:cs="方正黑体_GBK"/>
          <w:szCs w:val="32"/>
        </w:rPr>
      </w:pPr>
      <w:r>
        <w:rPr>
          <w:rFonts w:hint="eastAsia" w:ascii="方正仿宋_GBK" w:hAnsi="方正仿宋_GBK" w:cs="方正仿宋_GBK"/>
          <w:szCs w:val="32"/>
        </w:rPr>
        <w:t>综合评分采用百分制，共计</w:t>
      </w:r>
      <w:r>
        <w:rPr>
          <w:szCs w:val="32"/>
        </w:rPr>
        <w:t>100</w:t>
      </w:r>
      <w:r>
        <w:rPr>
          <w:rFonts w:hint="eastAsia" w:ascii="方正仿宋_GBK" w:hAnsi="方正仿宋_GBK" w:cs="方正仿宋_GBK"/>
          <w:szCs w:val="32"/>
        </w:rPr>
        <w:t>分。具体评分标准如下：</w:t>
      </w:r>
    </w:p>
    <w:tbl>
      <w:tblPr>
        <w:tblStyle w:val="16"/>
        <w:tblW w:w="9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4"/>
        <w:gridCol w:w="1178"/>
        <w:gridCol w:w="1425"/>
        <w:gridCol w:w="6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44" w:type="dxa"/>
            <w:noWrap/>
            <w:tcMar>
              <w:top w:w="15" w:type="dxa"/>
              <w:left w:w="15" w:type="dxa"/>
              <w:right w:w="15" w:type="dxa"/>
            </w:tcMar>
            <w:vAlign w:val="center"/>
          </w:tcPr>
          <w:p>
            <w:pPr>
              <w:spacing w:line="26" w:lineRule="atLeast"/>
              <w:jc w:val="center"/>
              <w:textAlignment w:val="center"/>
              <w:rPr>
                <w:rFonts w:hint="eastAsia" w:ascii="方正仿宋_GBK" w:hAnsi="仿宋" w:cs="仿宋"/>
                <w:b/>
                <w:bCs/>
                <w:sz w:val="28"/>
                <w:szCs w:val="24"/>
              </w:rPr>
            </w:pPr>
            <w:r>
              <w:rPr>
                <w:rFonts w:hint="eastAsia" w:ascii="方正仿宋_GBK" w:hAnsi="仿宋" w:cs="仿宋"/>
                <w:b/>
                <w:bCs/>
                <w:sz w:val="28"/>
                <w:szCs w:val="24"/>
                <w:lang w:bidi="ar"/>
              </w:rPr>
              <w:t>序号</w:t>
            </w:r>
          </w:p>
        </w:tc>
        <w:tc>
          <w:tcPr>
            <w:tcW w:w="1178" w:type="dxa"/>
            <w:noWrap/>
            <w:tcMar>
              <w:top w:w="15" w:type="dxa"/>
              <w:left w:w="15" w:type="dxa"/>
              <w:right w:w="15" w:type="dxa"/>
            </w:tcMar>
            <w:vAlign w:val="center"/>
          </w:tcPr>
          <w:p>
            <w:pPr>
              <w:spacing w:line="26" w:lineRule="atLeast"/>
              <w:jc w:val="center"/>
              <w:textAlignment w:val="center"/>
              <w:rPr>
                <w:rFonts w:hint="eastAsia" w:ascii="方正仿宋_GBK" w:hAnsi="仿宋" w:cs="仿宋"/>
                <w:b/>
                <w:bCs/>
                <w:sz w:val="28"/>
                <w:szCs w:val="24"/>
              </w:rPr>
            </w:pPr>
            <w:r>
              <w:rPr>
                <w:rFonts w:hint="eastAsia" w:ascii="方正仿宋_GBK" w:hAnsi="仿宋" w:cs="仿宋"/>
                <w:b/>
                <w:bCs/>
                <w:sz w:val="28"/>
                <w:szCs w:val="24"/>
                <w:lang w:bidi="ar"/>
              </w:rPr>
              <w:t>评分项</w:t>
            </w:r>
          </w:p>
        </w:tc>
        <w:tc>
          <w:tcPr>
            <w:tcW w:w="1425" w:type="dxa"/>
            <w:noWrap/>
            <w:tcMar>
              <w:top w:w="15" w:type="dxa"/>
              <w:left w:w="15" w:type="dxa"/>
              <w:right w:w="15" w:type="dxa"/>
            </w:tcMar>
            <w:vAlign w:val="center"/>
          </w:tcPr>
          <w:p>
            <w:pPr>
              <w:spacing w:line="26" w:lineRule="atLeast"/>
              <w:jc w:val="center"/>
              <w:textAlignment w:val="center"/>
              <w:rPr>
                <w:rFonts w:hint="eastAsia" w:ascii="方正仿宋_GBK" w:hAnsi="仿宋" w:cs="仿宋"/>
                <w:b/>
                <w:bCs/>
                <w:sz w:val="28"/>
                <w:szCs w:val="24"/>
              </w:rPr>
            </w:pPr>
            <w:r>
              <w:rPr>
                <w:rFonts w:hint="eastAsia" w:ascii="方正仿宋_GBK" w:hAnsi="仿宋" w:cs="仿宋"/>
                <w:b/>
                <w:bCs/>
                <w:sz w:val="28"/>
                <w:szCs w:val="24"/>
                <w:lang w:bidi="ar"/>
              </w:rPr>
              <w:t>分值</w:t>
            </w:r>
          </w:p>
        </w:tc>
        <w:tc>
          <w:tcPr>
            <w:tcW w:w="6165" w:type="dxa"/>
            <w:noWrap/>
            <w:tcMar>
              <w:top w:w="15" w:type="dxa"/>
              <w:left w:w="15" w:type="dxa"/>
              <w:right w:w="15" w:type="dxa"/>
            </w:tcMar>
            <w:vAlign w:val="center"/>
          </w:tcPr>
          <w:p>
            <w:pPr>
              <w:spacing w:line="26" w:lineRule="atLeast"/>
              <w:jc w:val="center"/>
              <w:textAlignment w:val="center"/>
              <w:rPr>
                <w:rFonts w:hint="eastAsia" w:ascii="方正仿宋_GBK" w:hAnsi="仿宋" w:cs="仿宋"/>
                <w:b/>
                <w:bCs/>
                <w:sz w:val="28"/>
                <w:szCs w:val="24"/>
              </w:rPr>
            </w:pPr>
            <w:r>
              <w:rPr>
                <w:rFonts w:hint="eastAsia" w:ascii="方正仿宋_GBK" w:hAnsi="仿宋" w:cs="仿宋"/>
                <w:b/>
                <w:bCs/>
                <w:sz w:val="28"/>
                <w:szCs w:val="24"/>
                <w:lang w:bidi="ar"/>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44"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8"/>
                <w:szCs w:val="28"/>
              </w:rPr>
            </w:pPr>
            <w:r>
              <w:rPr>
                <w:rFonts w:hint="eastAsia" w:ascii="方正黑体_GBK" w:hAnsi="方正黑体_GBK" w:eastAsia="方正黑体_GBK" w:cs="方正黑体_GBK"/>
                <w:kern w:val="0"/>
                <w:sz w:val="28"/>
                <w:szCs w:val="28"/>
                <w:lang w:bidi="ar"/>
              </w:rPr>
              <w:t>1</w:t>
            </w:r>
          </w:p>
        </w:tc>
        <w:tc>
          <w:tcPr>
            <w:tcW w:w="1178"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lang w:bidi="ar"/>
              </w:rPr>
              <w:t>报价（30%）</w:t>
            </w:r>
          </w:p>
        </w:tc>
        <w:tc>
          <w:tcPr>
            <w:tcW w:w="1425"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lang w:bidi="ar"/>
              </w:rPr>
              <w:t>30分</w:t>
            </w:r>
          </w:p>
        </w:tc>
        <w:tc>
          <w:tcPr>
            <w:tcW w:w="6165" w:type="dxa"/>
            <w:tcMar>
              <w:top w:w="15" w:type="dxa"/>
              <w:left w:w="15" w:type="dxa"/>
              <w:right w:w="15" w:type="dxa"/>
            </w:tcMar>
            <w:vAlign w:val="center"/>
          </w:tcPr>
          <w:p>
            <w:pPr>
              <w:autoSpaceDE w:val="0"/>
              <w:spacing w:line="0" w:lineRule="atLeast"/>
              <w:rPr>
                <w:rFonts w:hint="default" w:ascii="Times New Roman" w:hAnsi="Times New Roman" w:cs="Times New Roman"/>
                <w:bCs/>
                <w:sz w:val="21"/>
                <w:szCs w:val="21"/>
              </w:rPr>
            </w:pPr>
            <w:r>
              <w:rPr>
                <w:rFonts w:hint="default" w:ascii="Times New Roman" w:hAnsi="Times New Roman" w:cs="Times New Roman"/>
                <w:bCs/>
                <w:sz w:val="21"/>
                <w:szCs w:val="21"/>
                <w:lang w:bidi="ar"/>
              </w:rPr>
              <w:t>1.评标基准价计算</w:t>
            </w:r>
          </w:p>
          <w:p>
            <w:pPr>
              <w:autoSpaceDE w:val="0"/>
              <w:spacing w:line="0" w:lineRule="atLeast"/>
              <w:rPr>
                <w:rFonts w:hint="default" w:ascii="Times New Roman" w:hAnsi="Times New Roman" w:cs="Times New Roman"/>
                <w:bCs/>
                <w:sz w:val="21"/>
                <w:szCs w:val="21"/>
                <w:lang w:bidi="ar"/>
              </w:rPr>
            </w:pPr>
            <w:r>
              <w:rPr>
                <w:rFonts w:hint="default" w:ascii="Times New Roman" w:hAnsi="Times New Roman" w:cs="Times New Roman"/>
                <w:bCs/>
                <w:sz w:val="21"/>
                <w:szCs w:val="21"/>
                <w:lang w:bidi="ar"/>
              </w:rPr>
              <w:t>取所有通过初步评审的投标人报价的算术平均值；当有效投标人≥6家时，去掉一个最高价和一个最低价后再取算术平均值（不足6家则不去掉）。评标基准价计算结果保留两位小数，且在后续评审中不得调整。</w:t>
            </w:r>
          </w:p>
          <w:p>
            <w:pPr>
              <w:autoSpaceDE w:val="0"/>
              <w:spacing w:line="0" w:lineRule="atLeast"/>
              <w:rPr>
                <w:rFonts w:hint="default" w:ascii="Times New Roman" w:hAnsi="Times New Roman" w:cs="Times New Roman"/>
                <w:bCs/>
                <w:sz w:val="21"/>
                <w:szCs w:val="21"/>
                <w:lang w:bidi="ar"/>
              </w:rPr>
            </w:pPr>
            <w:r>
              <w:rPr>
                <w:rFonts w:hint="default" w:ascii="Times New Roman" w:hAnsi="Times New Roman" w:cs="Times New Roman"/>
                <w:bCs/>
                <w:sz w:val="21"/>
                <w:szCs w:val="21"/>
                <w:lang w:bidi="ar"/>
              </w:rPr>
              <w:t>2.投标报价</w:t>
            </w:r>
          </w:p>
          <w:p>
            <w:pPr>
              <w:spacing w:line="0" w:lineRule="atLeast"/>
              <w:textAlignment w:val="center"/>
              <w:rPr>
                <w:rFonts w:hint="eastAsia" w:ascii="方正仿宋_GBK" w:hAnsi="仿宋" w:cs="仿宋"/>
                <w:sz w:val="28"/>
                <w:szCs w:val="24"/>
              </w:rPr>
            </w:pPr>
            <w:r>
              <w:rPr>
                <w:rFonts w:hint="default" w:ascii="Times New Roman" w:hAnsi="Times New Roman" w:cs="Times New Roman"/>
                <w:bCs/>
                <w:sz w:val="21"/>
                <w:szCs w:val="21"/>
                <w:lang w:bidi="ar"/>
              </w:rPr>
              <w:t>所有通过初步评审的投标人，以评标基准价为满分基准，报价每高于基准价1%扣1分，每低于基准价1%扣0.5分，扣完为止。最终得分保留至小数点后两位。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44"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8"/>
                <w:szCs w:val="28"/>
                <w:lang w:bidi="ar"/>
              </w:rPr>
            </w:pPr>
            <w:r>
              <w:rPr>
                <w:rFonts w:hint="eastAsia" w:ascii="方正黑体_GBK" w:hAnsi="方正黑体_GBK" w:eastAsia="方正黑体_GBK" w:cs="方正黑体_GBK"/>
                <w:kern w:val="0"/>
                <w:sz w:val="28"/>
                <w:szCs w:val="28"/>
                <w:lang w:bidi="ar"/>
              </w:rPr>
              <w:t>2</w:t>
            </w:r>
          </w:p>
        </w:tc>
        <w:tc>
          <w:tcPr>
            <w:tcW w:w="1178"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监理大纲</w:t>
            </w:r>
          </w:p>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w:t>
            </w:r>
            <w:r>
              <w:rPr>
                <w:rFonts w:hint="eastAsia" w:ascii="方正黑体_GBK" w:hAnsi="方正黑体_GBK" w:eastAsia="方正黑体_GBK" w:cs="方正黑体_GBK"/>
                <w:kern w:val="0"/>
                <w:sz w:val="24"/>
                <w:szCs w:val="24"/>
                <w:lang w:val="en-US" w:eastAsia="zh-CN" w:bidi="ar"/>
              </w:rPr>
              <w:t>20</w:t>
            </w:r>
            <w:r>
              <w:rPr>
                <w:rFonts w:hint="eastAsia" w:ascii="方正黑体_GBK" w:hAnsi="方正黑体_GBK" w:eastAsia="方正黑体_GBK" w:cs="方正黑体_GBK"/>
                <w:kern w:val="0"/>
                <w:sz w:val="24"/>
                <w:szCs w:val="24"/>
                <w:lang w:bidi="ar"/>
              </w:rPr>
              <w:t>%）</w:t>
            </w:r>
          </w:p>
        </w:tc>
        <w:tc>
          <w:tcPr>
            <w:tcW w:w="1425"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val="en-US" w:eastAsia="zh-CN" w:bidi="ar"/>
              </w:rPr>
              <w:t>20</w:t>
            </w:r>
            <w:r>
              <w:rPr>
                <w:rFonts w:hint="eastAsia" w:ascii="方正黑体_GBK" w:hAnsi="方正黑体_GBK" w:eastAsia="方正黑体_GBK" w:cs="方正黑体_GBK"/>
                <w:kern w:val="0"/>
                <w:sz w:val="24"/>
                <w:szCs w:val="24"/>
                <w:lang w:bidi="ar"/>
              </w:rPr>
              <w:t>分</w:t>
            </w:r>
          </w:p>
        </w:tc>
        <w:tc>
          <w:tcPr>
            <w:tcW w:w="6165" w:type="dxa"/>
            <w:tcMar>
              <w:top w:w="15" w:type="dxa"/>
              <w:left w:w="15" w:type="dxa"/>
              <w:right w:w="15" w:type="dxa"/>
            </w:tcMar>
            <w:vAlign w:val="center"/>
          </w:tcPr>
          <w:p>
            <w:pPr>
              <w:spacing w:line="0" w:lineRule="atLeast"/>
              <w:textAlignment w:val="center"/>
              <w:rPr>
                <w:rFonts w:hint="eastAsia" w:ascii="方正仿宋_GBK" w:hAnsi="方正仿宋_GBK" w:cs="方正仿宋_GBK"/>
                <w:bCs/>
                <w:sz w:val="21"/>
                <w:szCs w:val="21"/>
                <w:lang w:bidi="ar"/>
              </w:rPr>
            </w:pPr>
            <w:r>
              <w:rPr>
                <w:rFonts w:hint="default" w:ascii="Times New Roman" w:hAnsi="Times New Roman" w:cs="Times New Roman"/>
                <w:bCs/>
                <w:sz w:val="21"/>
                <w:szCs w:val="21"/>
                <w:lang w:bidi="ar"/>
              </w:rPr>
              <w:t>投标人应依据本项目采购需求，对本项目各系统、各阶段进行有效分析，编制并提交监理大纲。监理大纲应包含但不限于以下内容：1.质量控制；2.进度控制；3.投资控制；4.变更控制；5.合同管理；6.信息管理与项目文档管理；7.安全管理；8.组织协调及人员安排；9.知识产权；10.监理服务工作成果。上述内容每具备一项得</w:t>
            </w:r>
            <w:r>
              <w:rPr>
                <w:rFonts w:hint="default" w:ascii="Times New Roman" w:hAnsi="Times New Roman" w:cs="Times New Roman"/>
                <w:bCs/>
                <w:sz w:val="21"/>
                <w:szCs w:val="21"/>
                <w:lang w:val="en-US" w:eastAsia="zh-CN" w:bidi="ar"/>
              </w:rPr>
              <w:t>2</w:t>
            </w:r>
            <w:r>
              <w:rPr>
                <w:rFonts w:hint="default" w:ascii="Times New Roman" w:hAnsi="Times New Roman" w:cs="Times New Roman"/>
                <w:bCs/>
                <w:sz w:val="21"/>
                <w:szCs w:val="21"/>
                <w:lang w:bidi="ar"/>
              </w:rPr>
              <w:t>分，最多得</w:t>
            </w:r>
            <w:r>
              <w:rPr>
                <w:rFonts w:hint="default" w:ascii="Times New Roman" w:hAnsi="Times New Roman" w:cs="Times New Roman"/>
                <w:bCs/>
                <w:color w:val="000000" w:themeColor="text1"/>
                <w:sz w:val="21"/>
                <w:szCs w:val="21"/>
                <w:lang w:val="en-US" w:eastAsia="zh-CN" w:bidi="ar"/>
                <w14:textFill>
                  <w14:solidFill>
                    <w14:schemeClr w14:val="tx1"/>
                  </w14:solidFill>
                </w14:textFill>
              </w:rPr>
              <w:t>20</w:t>
            </w:r>
            <w:r>
              <w:rPr>
                <w:rFonts w:hint="default" w:ascii="Times New Roman" w:hAnsi="Times New Roman" w:cs="Times New Roman"/>
                <w:bCs/>
                <w:sz w:val="21"/>
                <w:szCs w:val="21"/>
                <w:lang w:bidi="ar"/>
              </w:rPr>
              <w:t>分。投标人提供的内容每存在一处缺陷扣1</w:t>
            </w:r>
            <w:r>
              <w:rPr>
                <w:rFonts w:hint="default" w:ascii="Times New Roman" w:hAnsi="Times New Roman" w:cs="Times New Roman"/>
                <w:bCs/>
                <w:sz w:val="21"/>
                <w:szCs w:val="21"/>
                <w:lang w:val="en-US" w:eastAsia="zh-CN" w:bidi="ar"/>
              </w:rPr>
              <w:t>.5</w:t>
            </w:r>
            <w:r>
              <w:rPr>
                <w:rFonts w:hint="default" w:ascii="Times New Roman" w:hAnsi="Times New Roman" w:cs="Times New Roman"/>
                <w:bCs/>
                <w:sz w:val="21"/>
                <w:szCs w:val="21"/>
                <w:lang w:bidi="ar"/>
              </w:rPr>
              <w:t>分，扣完为止。本条所称缺陷，是指存在下列任意一种情形：</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val="en-US" w:eastAsia="zh-CN" w:bidi="ar"/>
              </w:rPr>
              <w:t>1</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项目名称表述错误</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val="en-US" w:eastAsia="zh-CN" w:bidi="ar"/>
              </w:rPr>
              <w:t>2</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内容与本项目需求无关</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val="en-US" w:eastAsia="zh-CN" w:bidi="ar"/>
              </w:rPr>
              <w:t>3</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大纲内容前后矛盾</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表述不一致</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val="en-US" w:eastAsia="zh-CN" w:bidi="ar"/>
              </w:rPr>
              <w:t>4</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仅具备框架或标题</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无实质内容</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val="en-US" w:eastAsia="zh-CN" w:bidi="ar"/>
              </w:rPr>
              <w:t>5</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适用的标准或方法错误</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val="en-US" w:eastAsia="zh-CN" w:bidi="ar"/>
              </w:rPr>
              <w:t>6</w:t>
            </w:r>
            <w:r>
              <w:rPr>
                <w:rFonts w:hint="default" w:ascii="Times New Roman" w:hAnsi="Times New Roman" w:cs="Times New Roman"/>
                <w:bCs/>
                <w:sz w:val="21"/>
                <w:szCs w:val="21"/>
                <w:lang w:eastAsia="zh-CN" w:bidi="ar"/>
              </w:rPr>
              <w:t>）明显照搬复制其他项目；（</w:t>
            </w:r>
            <w:r>
              <w:rPr>
                <w:rFonts w:hint="default" w:ascii="Times New Roman" w:hAnsi="Times New Roman" w:cs="Times New Roman"/>
                <w:bCs/>
                <w:sz w:val="21"/>
                <w:szCs w:val="21"/>
                <w:lang w:val="en-US" w:eastAsia="zh-CN" w:bidi="ar"/>
              </w:rPr>
              <w:t>7</w:t>
            </w:r>
            <w:r>
              <w:rPr>
                <w:rFonts w:hint="default" w:ascii="Times New Roman" w:hAnsi="Times New Roman" w:cs="Times New Roman"/>
                <w:bCs/>
                <w:sz w:val="21"/>
                <w:szCs w:val="21"/>
                <w:lang w:eastAsia="zh-CN" w:bidi="ar"/>
              </w:rPr>
              <w:t>）</w:t>
            </w:r>
            <w:r>
              <w:rPr>
                <w:rFonts w:hint="default" w:ascii="Times New Roman" w:hAnsi="Times New Roman" w:cs="Times New Roman"/>
                <w:bCs/>
                <w:sz w:val="21"/>
                <w:szCs w:val="21"/>
                <w:lang w:bidi="ar"/>
              </w:rPr>
              <w:t>其他同类缺陷。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44"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8"/>
                <w:szCs w:val="28"/>
                <w:lang w:bidi="ar"/>
              </w:rPr>
            </w:pPr>
            <w:r>
              <w:rPr>
                <w:rFonts w:hint="eastAsia" w:ascii="方正黑体_GBK" w:hAnsi="方正黑体_GBK" w:eastAsia="方正黑体_GBK" w:cs="方正黑体_GBK"/>
                <w:kern w:val="0"/>
                <w:sz w:val="28"/>
                <w:szCs w:val="28"/>
                <w:lang w:bidi="ar"/>
              </w:rPr>
              <w:t>3</w:t>
            </w:r>
          </w:p>
        </w:tc>
        <w:tc>
          <w:tcPr>
            <w:tcW w:w="1178"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监理工作计划</w:t>
            </w:r>
          </w:p>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w:t>
            </w:r>
            <w:r>
              <w:rPr>
                <w:rFonts w:hint="eastAsia" w:ascii="方正黑体_GBK" w:hAnsi="方正黑体_GBK" w:eastAsia="方正黑体_GBK" w:cs="方正黑体_GBK"/>
                <w:kern w:val="0"/>
                <w:sz w:val="24"/>
                <w:szCs w:val="24"/>
                <w:lang w:val="en-US" w:eastAsia="zh-CN" w:bidi="ar"/>
              </w:rPr>
              <w:t>4</w:t>
            </w:r>
            <w:r>
              <w:rPr>
                <w:rFonts w:hint="eastAsia" w:ascii="方正黑体_GBK" w:hAnsi="方正黑体_GBK" w:eastAsia="方正黑体_GBK" w:cs="方正黑体_GBK"/>
                <w:kern w:val="0"/>
                <w:sz w:val="24"/>
                <w:szCs w:val="24"/>
                <w:lang w:bidi="ar"/>
              </w:rPr>
              <w:t>%）</w:t>
            </w:r>
          </w:p>
        </w:tc>
        <w:tc>
          <w:tcPr>
            <w:tcW w:w="1425"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val="en-US" w:eastAsia="zh-CN" w:bidi="ar"/>
              </w:rPr>
              <w:t>4分</w:t>
            </w:r>
          </w:p>
        </w:tc>
        <w:tc>
          <w:tcPr>
            <w:tcW w:w="6165" w:type="dxa"/>
            <w:tcMar>
              <w:top w:w="15" w:type="dxa"/>
              <w:left w:w="15" w:type="dxa"/>
              <w:right w:w="15" w:type="dxa"/>
            </w:tcMar>
            <w:vAlign w:val="center"/>
          </w:tcPr>
          <w:p>
            <w:pPr>
              <w:spacing w:line="0" w:lineRule="atLeast"/>
              <w:textAlignment w:val="center"/>
              <w:rPr>
                <w:rFonts w:hint="default" w:ascii="Times New Roman" w:hAnsi="Times New Roman" w:cs="Times New Roman"/>
                <w:bCs/>
                <w:color w:val="auto"/>
                <w:sz w:val="21"/>
                <w:szCs w:val="21"/>
                <w:highlight w:val="none"/>
                <w:lang w:bidi="ar"/>
              </w:rPr>
            </w:pPr>
            <w:r>
              <w:rPr>
                <w:rFonts w:hint="default" w:ascii="Times New Roman" w:hAnsi="Times New Roman" w:cs="Times New Roman"/>
                <w:bCs/>
                <w:color w:val="auto"/>
                <w:sz w:val="21"/>
                <w:szCs w:val="21"/>
                <w:highlight w:val="none"/>
                <w:lang w:bidi="ar"/>
              </w:rPr>
              <w:t>投标人应针对本项目编制并提交监理实施计划。计划编制须以项目总体建设方案为依据，逐阶段厘清建设任务、识别关键节点，在此基础上科学统筹工作部署与人员配置，做到目标明确、职责清晰、安排可行。计划内容包括但不限于：</w:t>
            </w:r>
          </w:p>
          <w:p>
            <w:pPr>
              <w:spacing w:line="0" w:lineRule="atLeast"/>
              <w:textAlignment w:val="center"/>
              <w:rPr>
                <w:rFonts w:hint="default" w:ascii="Times New Roman" w:hAnsi="Times New Roman" w:cs="Times New Roman"/>
                <w:bCs/>
                <w:color w:val="auto"/>
                <w:sz w:val="21"/>
                <w:szCs w:val="21"/>
                <w:highlight w:val="none"/>
                <w:lang w:bidi="ar"/>
              </w:rPr>
            </w:pPr>
            <w:r>
              <w:rPr>
                <w:rFonts w:hint="default" w:ascii="Times New Roman" w:hAnsi="Times New Roman" w:cs="Times New Roman"/>
                <w:bCs/>
                <w:color w:val="auto"/>
                <w:sz w:val="21"/>
                <w:szCs w:val="21"/>
                <w:highlight w:val="none"/>
                <w:lang w:val="en-US" w:eastAsia="zh-CN" w:bidi="ar"/>
              </w:rPr>
              <w:t>1.</w:t>
            </w:r>
            <w:r>
              <w:rPr>
                <w:rFonts w:hint="default" w:ascii="Times New Roman" w:hAnsi="Times New Roman" w:cs="Times New Roman"/>
                <w:bCs/>
                <w:color w:val="auto"/>
                <w:sz w:val="21"/>
                <w:szCs w:val="21"/>
                <w:highlight w:val="none"/>
                <w:lang w:bidi="ar"/>
              </w:rPr>
              <w:t>工作及人员计划：明确各阶段工作内容、任务节点与人员投入安排；</w:t>
            </w:r>
          </w:p>
          <w:p>
            <w:pPr>
              <w:spacing w:line="0" w:lineRule="atLeast"/>
              <w:textAlignment w:val="center"/>
              <w:rPr>
                <w:rFonts w:hint="default" w:ascii="Times New Roman" w:hAnsi="Times New Roman" w:cs="Times New Roman"/>
                <w:bCs/>
                <w:color w:val="auto"/>
                <w:sz w:val="21"/>
                <w:szCs w:val="21"/>
                <w:highlight w:val="none"/>
                <w:lang w:bidi="ar"/>
              </w:rPr>
            </w:pPr>
            <w:r>
              <w:rPr>
                <w:rFonts w:hint="default" w:ascii="Times New Roman" w:hAnsi="Times New Roman" w:cs="Times New Roman"/>
                <w:bCs/>
                <w:color w:val="auto"/>
                <w:sz w:val="21"/>
                <w:szCs w:val="21"/>
                <w:highlight w:val="none"/>
                <w:lang w:val="en-US" w:eastAsia="zh-CN" w:bidi="ar"/>
              </w:rPr>
              <w:t>2.</w:t>
            </w:r>
            <w:r>
              <w:rPr>
                <w:rFonts w:hint="default" w:ascii="Times New Roman" w:hAnsi="Times New Roman" w:cs="Times New Roman"/>
                <w:bCs/>
                <w:color w:val="auto"/>
                <w:sz w:val="21"/>
                <w:szCs w:val="21"/>
                <w:highlight w:val="none"/>
                <w:lang w:bidi="ar"/>
              </w:rPr>
              <w:t>人员定位及岗位职责：界定关键岗位任职要求与职责分工；</w:t>
            </w:r>
          </w:p>
          <w:p>
            <w:pPr>
              <w:spacing w:line="0" w:lineRule="atLeast"/>
              <w:textAlignment w:val="center"/>
              <w:rPr>
                <w:rFonts w:hint="default" w:ascii="Times New Roman" w:hAnsi="Times New Roman" w:cs="Times New Roman"/>
                <w:bCs/>
                <w:color w:val="auto"/>
                <w:sz w:val="21"/>
                <w:szCs w:val="21"/>
                <w:highlight w:val="none"/>
                <w:lang w:bidi="ar"/>
              </w:rPr>
            </w:pPr>
            <w:r>
              <w:rPr>
                <w:rFonts w:hint="default" w:ascii="Times New Roman" w:hAnsi="Times New Roman" w:cs="Times New Roman"/>
                <w:bCs/>
                <w:color w:val="auto"/>
                <w:sz w:val="21"/>
                <w:szCs w:val="21"/>
                <w:highlight w:val="none"/>
                <w:lang w:val="en-US" w:eastAsia="zh-CN" w:bidi="ar"/>
              </w:rPr>
              <w:t>3.</w:t>
            </w:r>
            <w:r>
              <w:rPr>
                <w:rFonts w:hint="default" w:ascii="Times New Roman" w:hAnsi="Times New Roman" w:cs="Times New Roman"/>
                <w:bCs/>
                <w:color w:val="auto"/>
                <w:sz w:val="21"/>
                <w:szCs w:val="21"/>
                <w:highlight w:val="none"/>
                <w:lang w:bidi="ar"/>
              </w:rPr>
              <w:t>监理机构及分组：说明监理组织架构、专业分组及协同机制；</w:t>
            </w:r>
          </w:p>
          <w:p>
            <w:pPr>
              <w:spacing w:line="0" w:lineRule="atLeast"/>
              <w:textAlignment w:val="center"/>
              <w:rPr>
                <w:rFonts w:hint="default" w:ascii="Times New Roman" w:hAnsi="Times New Roman" w:cs="Times New Roman"/>
                <w:bCs/>
                <w:color w:val="auto"/>
                <w:sz w:val="21"/>
                <w:szCs w:val="21"/>
                <w:highlight w:val="none"/>
                <w:lang w:bidi="ar"/>
              </w:rPr>
            </w:pPr>
            <w:r>
              <w:rPr>
                <w:rFonts w:hint="default" w:ascii="Times New Roman" w:hAnsi="Times New Roman" w:cs="Times New Roman"/>
                <w:bCs/>
                <w:color w:val="auto"/>
                <w:sz w:val="21"/>
                <w:szCs w:val="21"/>
                <w:highlight w:val="none"/>
                <w:lang w:val="en-US" w:eastAsia="zh-CN" w:bidi="ar"/>
              </w:rPr>
              <w:t>4.</w:t>
            </w:r>
            <w:r>
              <w:rPr>
                <w:rFonts w:hint="default" w:ascii="Times New Roman" w:hAnsi="Times New Roman" w:cs="Times New Roman"/>
                <w:bCs/>
                <w:color w:val="auto"/>
                <w:sz w:val="21"/>
                <w:szCs w:val="21"/>
                <w:highlight w:val="none"/>
                <w:lang w:bidi="ar"/>
              </w:rPr>
              <w:t>监理服务实施细则：细化各阶段监理工作流程、控制措施与执行标准。</w:t>
            </w:r>
          </w:p>
          <w:p>
            <w:pPr>
              <w:spacing w:line="0" w:lineRule="atLeast"/>
              <w:textAlignment w:val="center"/>
              <w:rPr>
                <w:rFonts w:hint="eastAsia" w:ascii="方正仿宋_GBK"/>
                <w:bCs/>
                <w:sz w:val="21"/>
                <w:szCs w:val="21"/>
                <w:lang w:bidi="ar"/>
              </w:rPr>
            </w:pPr>
            <w:r>
              <w:rPr>
                <w:rFonts w:hint="default" w:ascii="Times New Roman" w:hAnsi="Times New Roman" w:cs="Times New Roman"/>
                <w:bCs/>
                <w:color w:val="auto"/>
                <w:sz w:val="21"/>
                <w:szCs w:val="21"/>
                <w:highlight w:val="none"/>
                <w:lang w:bidi="ar"/>
              </w:rPr>
              <w:t>上述内容每提供一项得</w:t>
            </w:r>
            <w:r>
              <w:rPr>
                <w:rFonts w:hint="default" w:ascii="Times New Roman" w:hAnsi="Times New Roman" w:cs="Times New Roman"/>
                <w:bCs/>
                <w:color w:val="auto"/>
                <w:sz w:val="21"/>
                <w:szCs w:val="21"/>
                <w:highlight w:val="none"/>
                <w:lang w:val="en-US" w:eastAsia="zh-CN" w:bidi="ar"/>
              </w:rPr>
              <w:t>1</w:t>
            </w:r>
            <w:r>
              <w:rPr>
                <w:rFonts w:hint="default" w:ascii="Times New Roman" w:hAnsi="Times New Roman" w:cs="Times New Roman"/>
                <w:bCs/>
                <w:color w:val="auto"/>
                <w:sz w:val="21"/>
                <w:szCs w:val="21"/>
                <w:highlight w:val="none"/>
                <w:lang w:bidi="ar"/>
              </w:rPr>
              <w:t>分，最多得</w:t>
            </w:r>
            <w:r>
              <w:rPr>
                <w:rFonts w:hint="default" w:ascii="Times New Roman" w:hAnsi="Times New Roman" w:cs="Times New Roman"/>
                <w:bCs/>
                <w:color w:val="auto"/>
                <w:sz w:val="21"/>
                <w:szCs w:val="21"/>
                <w:highlight w:val="none"/>
                <w:lang w:val="en-US" w:eastAsia="zh-CN" w:bidi="ar"/>
              </w:rPr>
              <w:t>4</w:t>
            </w:r>
            <w:r>
              <w:rPr>
                <w:rFonts w:hint="default" w:ascii="Times New Roman" w:hAnsi="Times New Roman" w:cs="Times New Roman"/>
                <w:bCs/>
                <w:color w:val="auto"/>
                <w:sz w:val="21"/>
                <w:szCs w:val="21"/>
                <w:highlight w:val="none"/>
                <w:lang w:bidi="ar"/>
              </w:rPr>
              <w:t>分。所提供内容每存在一处缺陷扣</w:t>
            </w:r>
            <w:r>
              <w:rPr>
                <w:rFonts w:hint="default" w:ascii="Times New Roman" w:hAnsi="Times New Roman" w:cs="Times New Roman"/>
                <w:bCs/>
                <w:color w:val="auto"/>
                <w:sz w:val="21"/>
                <w:szCs w:val="21"/>
                <w:highlight w:val="none"/>
                <w:lang w:val="en-US" w:eastAsia="zh-CN" w:bidi="ar"/>
              </w:rPr>
              <w:t>1</w:t>
            </w:r>
            <w:r>
              <w:rPr>
                <w:rFonts w:hint="default" w:ascii="Times New Roman" w:hAnsi="Times New Roman" w:cs="Times New Roman"/>
                <w:bCs/>
                <w:color w:val="auto"/>
                <w:sz w:val="21"/>
                <w:szCs w:val="21"/>
                <w:highlight w:val="none"/>
                <w:lang w:bidi="ar"/>
              </w:rPr>
              <w:t>分，扣至本项分值扣完为止。本条所称缺陷，是指存在下列任意一种情形：</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val="en-US" w:eastAsia="zh-CN" w:bidi="ar"/>
              </w:rPr>
              <w:t>1</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项目名称表述错误</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val="en-US" w:eastAsia="zh-CN" w:bidi="ar"/>
              </w:rPr>
              <w:t>2</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内容与本项目需求无关</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val="en-US" w:eastAsia="zh-CN" w:bidi="ar"/>
              </w:rPr>
              <w:t>3</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大纲内容前后矛盾</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表述不一致</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val="en-US" w:eastAsia="zh-CN" w:bidi="ar"/>
              </w:rPr>
              <w:t>4</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仅具备框架或标题</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无实质内容</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val="en-US" w:eastAsia="zh-CN" w:bidi="ar"/>
              </w:rPr>
              <w:t>5</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适用的标准或方法错误</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val="en-US" w:eastAsia="zh-CN" w:bidi="ar"/>
              </w:rPr>
              <w:t>6</w:t>
            </w:r>
            <w:r>
              <w:rPr>
                <w:rFonts w:hint="default" w:ascii="Times New Roman" w:hAnsi="Times New Roman" w:cs="Times New Roman"/>
                <w:bCs/>
                <w:color w:val="auto"/>
                <w:sz w:val="21"/>
                <w:szCs w:val="21"/>
                <w:highlight w:val="none"/>
                <w:lang w:eastAsia="zh-CN" w:bidi="ar"/>
              </w:rPr>
              <w:t>）明显照搬复制其他项目；（</w:t>
            </w:r>
            <w:r>
              <w:rPr>
                <w:rFonts w:hint="default" w:ascii="Times New Roman" w:hAnsi="Times New Roman" w:cs="Times New Roman"/>
                <w:bCs/>
                <w:color w:val="auto"/>
                <w:sz w:val="21"/>
                <w:szCs w:val="21"/>
                <w:highlight w:val="none"/>
                <w:lang w:val="en-US" w:eastAsia="zh-CN" w:bidi="ar"/>
              </w:rPr>
              <w:t>7</w:t>
            </w:r>
            <w:r>
              <w:rPr>
                <w:rFonts w:hint="default" w:ascii="Times New Roman" w:hAnsi="Times New Roman" w:cs="Times New Roman"/>
                <w:bCs/>
                <w:color w:val="auto"/>
                <w:sz w:val="21"/>
                <w:szCs w:val="21"/>
                <w:highlight w:val="none"/>
                <w:lang w:eastAsia="zh-CN" w:bidi="ar"/>
              </w:rPr>
              <w:t>）</w:t>
            </w:r>
            <w:r>
              <w:rPr>
                <w:rFonts w:hint="default" w:ascii="Times New Roman" w:hAnsi="Times New Roman" w:cs="Times New Roman"/>
                <w:bCs/>
                <w:color w:val="auto"/>
                <w:sz w:val="21"/>
                <w:szCs w:val="21"/>
                <w:highlight w:val="none"/>
                <w:lang w:bidi="ar"/>
              </w:rPr>
              <w:t>其他同类缺陷。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44" w:type="dxa"/>
            <w:noWrap/>
            <w:tcMar>
              <w:top w:w="15" w:type="dxa"/>
              <w:left w:w="15" w:type="dxa"/>
              <w:right w:w="15" w:type="dxa"/>
            </w:tcMar>
            <w:vAlign w:val="center"/>
          </w:tcPr>
          <w:p>
            <w:pPr>
              <w:spacing w:line="0" w:lineRule="atLeast"/>
              <w:jc w:val="center"/>
              <w:rPr>
                <w:rFonts w:hint="eastAsia" w:ascii="方正黑体_GBK" w:hAnsi="方正黑体_GBK" w:eastAsia="方正黑体_GBK" w:cs="方正黑体_GBK"/>
                <w:kern w:val="0"/>
                <w:sz w:val="28"/>
                <w:szCs w:val="28"/>
                <w:lang w:bidi="ar"/>
              </w:rPr>
            </w:pPr>
            <w:r>
              <w:rPr>
                <w:rFonts w:hint="eastAsia" w:ascii="方正黑体_GBK" w:hAnsi="方正黑体_GBK" w:eastAsia="方正黑体_GBK" w:cs="方正黑体_GBK"/>
                <w:kern w:val="0"/>
                <w:sz w:val="28"/>
                <w:szCs w:val="28"/>
                <w:lang w:bidi="ar"/>
              </w:rPr>
              <w:t>4</w:t>
            </w:r>
          </w:p>
        </w:tc>
        <w:tc>
          <w:tcPr>
            <w:tcW w:w="1178"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val="en-US" w:eastAsia="zh-CN" w:bidi="ar"/>
              </w:rPr>
              <w:t>履约能力</w:t>
            </w:r>
            <w:r>
              <w:rPr>
                <w:rFonts w:hint="eastAsia" w:ascii="方正黑体_GBK" w:hAnsi="方正黑体_GBK" w:eastAsia="方正黑体_GBK" w:cs="方正黑体_GBK"/>
                <w:kern w:val="0"/>
                <w:sz w:val="24"/>
                <w:szCs w:val="24"/>
                <w:lang w:bidi="ar"/>
              </w:rPr>
              <w:t>（</w:t>
            </w:r>
            <w:r>
              <w:rPr>
                <w:rFonts w:hint="eastAsia" w:ascii="方正黑体_GBK" w:hAnsi="方正黑体_GBK" w:eastAsia="方正黑体_GBK" w:cs="方正黑体_GBK"/>
                <w:kern w:val="0"/>
                <w:sz w:val="24"/>
                <w:szCs w:val="24"/>
                <w:lang w:val="en-US" w:eastAsia="zh-CN" w:bidi="ar"/>
              </w:rPr>
              <w:t>6</w:t>
            </w:r>
            <w:r>
              <w:rPr>
                <w:rFonts w:hint="eastAsia" w:ascii="方正黑体_GBK" w:hAnsi="方正黑体_GBK" w:eastAsia="方正黑体_GBK" w:cs="方正黑体_GBK"/>
                <w:kern w:val="0"/>
                <w:sz w:val="24"/>
                <w:szCs w:val="24"/>
                <w:lang w:bidi="ar"/>
              </w:rPr>
              <w:t>%）</w:t>
            </w:r>
          </w:p>
        </w:tc>
        <w:tc>
          <w:tcPr>
            <w:tcW w:w="1425"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bCs w:val="0"/>
                <w:kern w:val="0"/>
                <w:sz w:val="24"/>
                <w:szCs w:val="24"/>
                <w:lang w:bidi="ar"/>
              </w:rPr>
            </w:pPr>
            <w:r>
              <w:rPr>
                <w:rFonts w:hint="eastAsia" w:ascii="方正黑体_GBK" w:hAnsi="方正黑体_GBK" w:eastAsia="方正黑体_GBK" w:cs="方正黑体_GBK"/>
                <w:kern w:val="0"/>
                <w:sz w:val="24"/>
                <w:szCs w:val="24"/>
                <w:lang w:val="en-US" w:eastAsia="zh-CN" w:bidi="ar"/>
              </w:rPr>
              <w:t>6分</w:t>
            </w:r>
          </w:p>
        </w:tc>
        <w:tc>
          <w:tcPr>
            <w:tcW w:w="6165" w:type="dxa"/>
            <w:tcMar>
              <w:top w:w="15" w:type="dxa"/>
              <w:left w:w="15" w:type="dxa"/>
              <w:right w:w="15" w:type="dxa"/>
            </w:tcMar>
            <w:vAlign w:val="center"/>
          </w:tcPr>
          <w:p>
            <w:pPr>
              <w:spacing w:line="0" w:lineRule="atLeast"/>
              <w:textAlignment w:val="center"/>
              <w:rPr>
                <w:rFonts w:hint="default" w:ascii="Times New Roman" w:hAnsi="Times New Roman" w:cs="Times New Roman"/>
                <w:bCs/>
                <w:sz w:val="21"/>
                <w:szCs w:val="21"/>
                <w:lang w:bidi="ar"/>
              </w:rPr>
            </w:pPr>
            <w:r>
              <w:rPr>
                <w:rFonts w:hint="default" w:ascii="Times New Roman" w:hAnsi="Times New Roman" w:cs="Times New Roman"/>
                <w:bCs/>
                <w:sz w:val="21"/>
                <w:szCs w:val="21"/>
                <w:lang w:bidi="ar"/>
              </w:rPr>
              <w:t>投入本项目提升监理服务能力的软件工具。投标人须以自有软件或合法授权软件投入使用，功能覆盖但不限于：</w:t>
            </w:r>
            <w:r>
              <w:rPr>
                <w:rFonts w:hint="default" w:ascii="Times New Roman" w:hAnsi="Times New Roman" w:cs="Times New Roman"/>
                <w:bCs/>
                <w:sz w:val="21"/>
                <w:szCs w:val="21"/>
                <w:lang w:val="en-US" w:eastAsia="zh-CN" w:bidi="ar"/>
              </w:rPr>
              <w:t>1.</w:t>
            </w:r>
            <w:r>
              <w:rPr>
                <w:rFonts w:hint="default" w:ascii="Times New Roman" w:hAnsi="Times New Roman" w:cs="Times New Roman"/>
                <w:bCs/>
                <w:sz w:val="21"/>
                <w:szCs w:val="21"/>
                <w:lang w:bidi="ar"/>
              </w:rPr>
              <w:t>项目质量安全管理（质量检查、验收核查、问题隐患整改闭环）；</w:t>
            </w:r>
            <w:r>
              <w:rPr>
                <w:rFonts w:hint="default" w:ascii="Times New Roman" w:hAnsi="Times New Roman" w:cs="Times New Roman"/>
                <w:bCs/>
                <w:sz w:val="21"/>
                <w:szCs w:val="21"/>
                <w:lang w:val="en-US" w:eastAsia="zh-CN" w:bidi="ar"/>
              </w:rPr>
              <w:t>2.</w:t>
            </w:r>
            <w:r>
              <w:rPr>
                <w:rFonts w:hint="default" w:ascii="Times New Roman" w:hAnsi="Times New Roman" w:cs="Times New Roman"/>
                <w:bCs/>
                <w:sz w:val="21"/>
                <w:szCs w:val="21"/>
                <w:lang w:bidi="ar"/>
              </w:rPr>
              <w:t>项目监理标准化评价管理；</w:t>
            </w:r>
            <w:r>
              <w:rPr>
                <w:rFonts w:hint="default" w:ascii="Times New Roman" w:hAnsi="Times New Roman" w:cs="Times New Roman"/>
                <w:bCs/>
                <w:sz w:val="21"/>
                <w:szCs w:val="21"/>
                <w:lang w:val="en-US" w:eastAsia="zh-CN" w:bidi="ar"/>
              </w:rPr>
              <w:t>3.</w:t>
            </w:r>
            <w:r>
              <w:rPr>
                <w:rFonts w:hint="default" w:ascii="Times New Roman" w:hAnsi="Times New Roman" w:cs="Times New Roman"/>
                <w:bCs/>
                <w:sz w:val="21"/>
                <w:szCs w:val="21"/>
                <w:lang w:bidi="ar"/>
              </w:rPr>
              <w:t>数字监理工作流程管理（监理通知单、审批意见等线上流转）；</w:t>
            </w:r>
            <w:r>
              <w:rPr>
                <w:rFonts w:hint="default" w:ascii="Times New Roman" w:hAnsi="Times New Roman" w:cs="Times New Roman"/>
                <w:bCs/>
                <w:sz w:val="21"/>
                <w:szCs w:val="21"/>
                <w:lang w:val="en-US" w:eastAsia="zh-CN" w:bidi="ar"/>
              </w:rPr>
              <w:t>4.</w:t>
            </w:r>
            <w:r>
              <w:rPr>
                <w:rFonts w:hint="default" w:ascii="Times New Roman" w:hAnsi="Times New Roman" w:cs="Times New Roman"/>
                <w:bCs/>
                <w:sz w:val="21"/>
                <w:szCs w:val="21"/>
                <w:lang w:bidi="ar"/>
              </w:rPr>
              <w:t>项目信息管理与项目文档管理（资料台账、归档、版本管理）；</w:t>
            </w:r>
            <w:r>
              <w:rPr>
                <w:rFonts w:hint="default" w:ascii="Times New Roman" w:hAnsi="Times New Roman" w:cs="Times New Roman"/>
                <w:bCs/>
                <w:sz w:val="21"/>
                <w:szCs w:val="21"/>
                <w:lang w:val="en-US" w:eastAsia="zh-CN" w:bidi="ar"/>
              </w:rPr>
              <w:t>5.</w:t>
            </w:r>
            <w:r>
              <w:rPr>
                <w:rFonts w:hint="default" w:ascii="Times New Roman" w:hAnsi="Times New Roman" w:cs="Times New Roman"/>
                <w:bCs/>
                <w:sz w:val="21"/>
                <w:szCs w:val="21"/>
                <w:lang w:bidi="ar"/>
              </w:rPr>
              <w:t>项目安全管理（网络安全、数据安全与保密监督）；</w:t>
            </w:r>
            <w:r>
              <w:rPr>
                <w:rFonts w:hint="default" w:ascii="Times New Roman" w:hAnsi="Times New Roman" w:cs="Times New Roman"/>
                <w:bCs/>
                <w:sz w:val="21"/>
                <w:szCs w:val="21"/>
                <w:lang w:val="en-US" w:eastAsia="zh-CN" w:bidi="ar"/>
              </w:rPr>
              <w:t>6.</w:t>
            </w:r>
            <w:r>
              <w:rPr>
                <w:rFonts w:hint="default" w:ascii="Times New Roman" w:hAnsi="Times New Roman" w:cs="Times New Roman"/>
                <w:bCs/>
                <w:sz w:val="21"/>
                <w:szCs w:val="21"/>
                <w:lang w:bidi="ar"/>
              </w:rPr>
              <w:t>项目周报与月报管理。须提供软件对应模块的操作界面截图。</w:t>
            </w:r>
          </w:p>
          <w:p>
            <w:pPr>
              <w:spacing w:line="0" w:lineRule="atLeast"/>
              <w:textAlignment w:val="center"/>
              <w:rPr>
                <w:rFonts w:hint="eastAsia" w:ascii="方正仿宋_GBK" w:eastAsia="方正仿宋_GBK"/>
                <w:bCs/>
                <w:color w:val="FF0000"/>
                <w:sz w:val="21"/>
                <w:szCs w:val="21"/>
                <w:lang w:eastAsia="zh-CN" w:bidi="ar"/>
              </w:rPr>
            </w:pPr>
            <w:r>
              <w:rPr>
                <w:rFonts w:hint="default" w:ascii="Times New Roman" w:hAnsi="Times New Roman" w:cs="Times New Roman"/>
                <w:bCs/>
                <w:sz w:val="21"/>
                <w:szCs w:val="21"/>
                <w:lang w:bidi="ar"/>
              </w:rPr>
              <w:t>优（具备上述功能5项及以上，各模块完整、可实际操作使用；功能覆盖质量检查闭环、流程线上审批、文档归档、定期报告生成等监理核心环节，与本项目信创监理需求高度匹配；截图清晰展示模块名称、业务字段与实际流转界面，能够支撑日常监理履职）得</w:t>
            </w:r>
            <w:r>
              <w:rPr>
                <w:rFonts w:hint="default" w:ascii="Times New Roman" w:hAnsi="Times New Roman" w:cs="Times New Roman"/>
                <w:bCs/>
                <w:sz w:val="21"/>
                <w:szCs w:val="21"/>
                <w:lang w:val="en-US" w:eastAsia="zh-CN" w:bidi="ar"/>
              </w:rPr>
              <w:t>6</w:t>
            </w:r>
            <w:r>
              <w:rPr>
                <w:rFonts w:hint="default" w:ascii="Times New Roman" w:hAnsi="Times New Roman" w:cs="Times New Roman"/>
                <w:bCs/>
                <w:sz w:val="21"/>
                <w:szCs w:val="21"/>
                <w:lang w:bidi="ar"/>
              </w:rPr>
              <w:t>分；</w:t>
            </w:r>
            <w:r>
              <w:rPr>
                <w:rFonts w:hint="default" w:ascii="Times New Roman" w:hAnsi="Times New Roman" w:cs="Times New Roman"/>
                <w:bCs/>
                <w:sz w:val="21"/>
                <w:szCs w:val="21"/>
                <w:lang w:bidi="ar"/>
              </w:rPr>
              <w:br w:type="textWrapping"/>
            </w:r>
            <w:r>
              <w:rPr>
                <w:rFonts w:hint="default" w:ascii="Times New Roman" w:hAnsi="Times New Roman" w:cs="Times New Roman"/>
                <w:bCs/>
                <w:sz w:val="21"/>
                <w:szCs w:val="21"/>
                <w:lang w:bidi="ar"/>
              </w:rPr>
              <w:t>良（具备上述功能3至4项，模块完整、可操作使用；覆盖监理主要管理环节，与项目需求基本匹配；截图清晰可辨，功能可投入实际使用）得3分；</w:t>
            </w:r>
            <w:r>
              <w:rPr>
                <w:rFonts w:hint="default" w:ascii="Times New Roman" w:hAnsi="Times New Roman" w:cs="Times New Roman"/>
                <w:bCs/>
                <w:sz w:val="21"/>
                <w:szCs w:val="21"/>
                <w:lang w:bidi="ar"/>
              </w:rPr>
              <w:br w:type="textWrapping"/>
            </w:r>
            <w:r>
              <w:rPr>
                <w:rFonts w:hint="default" w:ascii="Times New Roman" w:hAnsi="Times New Roman" w:cs="Times New Roman"/>
                <w:bCs/>
                <w:sz w:val="21"/>
                <w:szCs w:val="21"/>
                <w:lang w:bidi="ar"/>
              </w:rPr>
              <w:t>中（具备上述功能1至2项，可操作使用；覆盖环节较为单一，仅能支撑部分监理管理工作；截图可辨认，权属合法）得1分；</w:t>
            </w:r>
            <w:r>
              <w:rPr>
                <w:rFonts w:hint="default" w:ascii="Times New Roman" w:hAnsi="Times New Roman" w:cs="Times New Roman"/>
                <w:bCs/>
                <w:sz w:val="21"/>
                <w:szCs w:val="21"/>
                <w:lang w:bidi="ar"/>
              </w:rPr>
              <w:br w:type="textWrapping"/>
            </w:r>
            <w:r>
              <w:rPr>
                <w:rFonts w:hint="default" w:ascii="Times New Roman" w:hAnsi="Times New Roman" w:cs="Times New Roman"/>
                <w:bCs/>
                <w:sz w:val="21"/>
                <w:szCs w:val="21"/>
                <w:lang w:bidi="ar"/>
              </w:rPr>
              <w:t>差（不具备信息化管理工具；或仅提供宣传页面、框架介绍而无实际操作界面；或功能与监理业务无关；或未提供有效证明材料）或未提供不得分。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22" w:hRule="atLeast"/>
        </w:trPr>
        <w:tc>
          <w:tcPr>
            <w:tcW w:w="644" w:type="dxa"/>
            <w:noWrap/>
            <w:tcMar>
              <w:top w:w="15" w:type="dxa"/>
              <w:left w:w="15" w:type="dxa"/>
              <w:right w:w="15" w:type="dxa"/>
            </w:tcMar>
            <w:vAlign w:val="center"/>
          </w:tcPr>
          <w:p>
            <w:pPr>
              <w:spacing w:line="0" w:lineRule="atLeast"/>
              <w:jc w:val="center"/>
              <w:rPr>
                <w:rFonts w:hint="eastAsia" w:ascii="方正黑体_GBK" w:hAnsi="方正黑体_GBK" w:eastAsia="方正黑体_GBK" w:cs="方正黑体_GBK"/>
                <w:kern w:val="0"/>
                <w:sz w:val="28"/>
                <w:szCs w:val="28"/>
                <w:lang w:bidi="ar"/>
              </w:rPr>
            </w:pPr>
            <w:r>
              <w:rPr>
                <w:rFonts w:hint="eastAsia" w:ascii="方正黑体_GBK" w:hAnsi="方正黑体_GBK" w:eastAsia="方正黑体_GBK" w:cs="方正黑体_GBK"/>
                <w:kern w:val="0"/>
                <w:sz w:val="28"/>
                <w:szCs w:val="28"/>
                <w:lang w:bidi="ar"/>
              </w:rPr>
              <w:t>5</w:t>
            </w:r>
          </w:p>
        </w:tc>
        <w:tc>
          <w:tcPr>
            <w:tcW w:w="1178"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监理团队</w:t>
            </w:r>
          </w:p>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（3</w:t>
            </w:r>
            <w:r>
              <w:rPr>
                <w:rFonts w:hint="eastAsia" w:ascii="方正黑体_GBK" w:hAnsi="方正黑体_GBK" w:eastAsia="方正黑体_GBK" w:cs="方正黑体_GBK"/>
                <w:kern w:val="0"/>
                <w:sz w:val="24"/>
                <w:szCs w:val="24"/>
                <w:lang w:val="en-US" w:eastAsia="zh-CN" w:bidi="ar"/>
              </w:rPr>
              <w:t>0</w:t>
            </w:r>
            <w:r>
              <w:rPr>
                <w:rFonts w:hint="eastAsia" w:ascii="方正黑体_GBK" w:hAnsi="方正黑体_GBK" w:eastAsia="方正黑体_GBK" w:cs="方正黑体_GBK"/>
                <w:kern w:val="0"/>
                <w:sz w:val="24"/>
                <w:szCs w:val="24"/>
                <w:lang w:bidi="ar"/>
              </w:rPr>
              <w:t>%）</w:t>
            </w:r>
          </w:p>
        </w:tc>
        <w:tc>
          <w:tcPr>
            <w:tcW w:w="1425"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val="en-US" w:eastAsia="zh-CN" w:bidi="ar"/>
              </w:rPr>
            </w:pPr>
            <w:r>
              <w:rPr>
                <w:rFonts w:hint="eastAsia" w:ascii="方正黑体_GBK" w:hAnsi="方正黑体_GBK" w:eastAsia="方正黑体_GBK" w:cs="方正黑体_GBK"/>
                <w:kern w:val="0"/>
                <w:sz w:val="24"/>
                <w:szCs w:val="24"/>
                <w:lang w:val="en-US" w:eastAsia="zh-CN" w:bidi="ar"/>
              </w:rPr>
              <w:t>30分</w:t>
            </w:r>
          </w:p>
        </w:tc>
        <w:tc>
          <w:tcPr>
            <w:tcW w:w="6165" w:type="dxa"/>
            <w:tcMar>
              <w:top w:w="15" w:type="dxa"/>
              <w:left w:w="15" w:type="dxa"/>
              <w:right w:w="15" w:type="dxa"/>
            </w:tcMar>
            <w:vAlign w:val="center"/>
          </w:tcPr>
          <w:p>
            <w:pPr>
              <w:spacing w:line="0" w:lineRule="atLeast"/>
              <w:jc w:val="both"/>
              <w:rPr>
                <w:rFonts w:hint="default" w:ascii="Times New Roman" w:hAnsi="Times New Roman" w:eastAsia="方正仿宋_GBK" w:cs="Times New Roman"/>
                <w:bCs/>
                <w:sz w:val="21"/>
                <w:szCs w:val="21"/>
                <w:lang w:eastAsia="zh-CN" w:bidi="ar"/>
              </w:rPr>
            </w:pPr>
            <w:r>
              <w:rPr>
                <w:rFonts w:hint="default" w:ascii="Times New Roman" w:hAnsi="Times New Roman" w:eastAsia="方正仿宋_GBK" w:cs="Times New Roman"/>
                <w:bCs/>
                <w:sz w:val="21"/>
                <w:szCs w:val="21"/>
                <w:lang w:eastAsia="zh-CN" w:bidi="ar"/>
              </w:rPr>
              <w:t>项目团队在满足本项目人员资格要求的团队人数基础上，投标人每额外配备1名持有以下范围内任一证书的正式员工，得4分，本项累计最高得12分。</w:t>
            </w:r>
          </w:p>
          <w:p>
            <w:pPr>
              <w:spacing w:line="0" w:lineRule="atLeast"/>
              <w:jc w:val="both"/>
              <w:rPr>
                <w:rFonts w:hint="default" w:ascii="Times New Roman" w:hAnsi="Times New Roman" w:eastAsia="方正仿宋_GBK" w:cs="Times New Roman"/>
                <w:bCs/>
                <w:sz w:val="21"/>
                <w:szCs w:val="21"/>
                <w:lang w:eastAsia="zh-CN" w:bidi="ar"/>
              </w:rPr>
            </w:pPr>
            <w:r>
              <w:rPr>
                <w:rFonts w:hint="default" w:ascii="Times New Roman" w:hAnsi="Times New Roman" w:eastAsia="方正仿宋_GBK" w:cs="Times New Roman"/>
                <w:bCs/>
                <w:sz w:val="21"/>
                <w:szCs w:val="21"/>
                <w:lang w:eastAsia="zh-CN" w:bidi="ar"/>
              </w:rPr>
              <w:t>监理员：实行一人一岗，具有信息系统项目管理师、系统集成项目管理工程师、信息安全工程师或软件测试工程师（高级）之一的。</w:t>
            </w:r>
          </w:p>
          <w:p>
            <w:pPr>
              <w:spacing w:line="0" w:lineRule="atLeast"/>
              <w:jc w:val="both"/>
              <w:rPr>
                <w:rFonts w:hint="default" w:ascii="Times New Roman" w:hAnsi="Times New Roman" w:eastAsia="方正仿宋_GBK" w:cs="Times New Roman"/>
                <w:b/>
                <w:bCs w:val="0"/>
                <w:sz w:val="21"/>
                <w:szCs w:val="21"/>
                <w:lang w:eastAsia="zh-CN" w:bidi="ar"/>
              </w:rPr>
            </w:pPr>
            <w:r>
              <w:rPr>
                <w:rFonts w:hint="default" w:ascii="Times New Roman" w:hAnsi="Times New Roman" w:eastAsia="方正仿宋_GBK" w:cs="Times New Roman"/>
                <w:b/>
                <w:bCs w:val="0"/>
                <w:sz w:val="21"/>
                <w:szCs w:val="21"/>
                <w:lang w:eastAsia="zh-CN" w:bidi="ar"/>
              </w:rPr>
              <w:t>除上述监理员外，拟派驻本项目监理团队的其他人员按下列岗位证书情况计分：</w:t>
            </w:r>
          </w:p>
          <w:p>
            <w:pPr>
              <w:spacing w:line="0" w:lineRule="atLeast"/>
              <w:jc w:val="both"/>
              <w:rPr>
                <w:rFonts w:hint="default" w:ascii="Times New Roman" w:hAnsi="Times New Roman" w:eastAsia="方正仿宋_GBK" w:cs="Times New Roman"/>
                <w:bCs/>
                <w:sz w:val="21"/>
                <w:szCs w:val="21"/>
                <w:lang w:eastAsia="zh-CN" w:bidi="ar"/>
              </w:rPr>
            </w:pPr>
            <w:r>
              <w:rPr>
                <w:rFonts w:hint="default" w:ascii="Times New Roman" w:hAnsi="Times New Roman" w:eastAsia="方正仿宋_GBK" w:cs="Times New Roman"/>
                <w:bCs/>
                <w:sz w:val="21"/>
                <w:szCs w:val="21"/>
                <w:lang w:eastAsia="zh-CN" w:bidi="ar"/>
              </w:rPr>
              <w:t>总监理工程师：具有注册监理工程师（注册专业：通信工程）、信息系统项目管理师、系统规划与管理师、注册信息安全工程师或高级工程师（职称专业为电子信息或大数据智能化）之一的，每项得3分，本岗位最高得9分。</w:t>
            </w:r>
          </w:p>
          <w:p>
            <w:pPr>
              <w:spacing w:line="0" w:lineRule="atLeast"/>
              <w:jc w:val="both"/>
              <w:rPr>
                <w:rFonts w:hint="default" w:ascii="Times New Roman" w:hAnsi="Times New Roman" w:eastAsia="方正仿宋_GBK" w:cs="Times New Roman"/>
                <w:bCs/>
                <w:sz w:val="21"/>
                <w:szCs w:val="21"/>
                <w:lang w:eastAsia="zh-CN" w:bidi="ar"/>
              </w:rPr>
            </w:pPr>
            <w:r>
              <w:rPr>
                <w:rFonts w:hint="default" w:ascii="Times New Roman" w:hAnsi="Times New Roman" w:eastAsia="方正仿宋_GBK" w:cs="Times New Roman"/>
                <w:bCs/>
                <w:sz w:val="21"/>
                <w:szCs w:val="21"/>
                <w:lang w:eastAsia="zh-CN" w:bidi="ar"/>
              </w:rPr>
              <w:t>监理工程师：具有注册监理工程师（注册专业：通信工程）、信息系统项目管理师、系统规划与管理师、系统集成项目管理工程师、信息安全工程师、软件测试工程师或数据库系统工程师之一的，每项得3分，本岗位最高得9分。</w:t>
            </w:r>
          </w:p>
          <w:p>
            <w:pPr>
              <w:spacing w:line="0" w:lineRule="atLeast"/>
              <w:jc w:val="both"/>
              <w:rPr>
                <w:rFonts w:hint="default" w:ascii="Times New Roman" w:hAnsi="Times New Roman" w:eastAsia="方正仿宋_GBK" w:cs="Times New Roman"/>
                <w:bCs/>
                <w:sz w:val="21"/>
                <w:szCs w:val="21"/>
                <w:lang w:eastAsia="zh-CN" w:bidi="ar"/>
              </w:rPr>
            </w:pPr>
            <w:r>
              <w:rPr>
                <w:rFonts w:hint="default" w:ascii="Times New Roman" w:hAnsi="Times New Roman" w:eastAsia="方正仿宋_GBK" w:cs="Times New Roman"/>
                <w:bCs/>
                <w:sz w:val="21"/>
                <w:szCs w:val="21"/>
                <w:lang w:eastAsia="zh-CN" w:bidi="ar"/>
              </w:rPr>
              <w:t>上述各项评分按以下规则执行：</w:t>
            </w:r>
          </w:p>
          <w:p>
            <w:pPr>
              <w:spacing w:line="0" w:lineRule="atLeast"/>
              <w:jc w:val="both"/>
              <w:rPr>
                <w:rFonts w:hint="default" w:ascii="Times New Roman" w:hAnsi="Times New Roman" w:eastAsia="方正仿宋_GBK" w:cs="Times New Roman"/>
                <w:bCs/>
                <w:sz w:val="21"/>
                <w:szCs w:val="21"/>
                <w:lang w:eastAsia="zh-CN" w:bidi="ar"/>
              </w:rPr>
            </w:pPr>
            <w:r>
              <w:rPr>
                <w:rFonts w:hint="default" w:ascii="Times New Roman" w:hAnsi="Times New Roman" w:eastAsia="方正仿宋_GBK" w:cs="Times New Roman"/>
                <w:bCs/>
                <w:sz w:val="21"/>
                <w:szCs w:val="21"/>
                <w:lang w:eastAsia="zh-CN" w:bidi="ar"/>
              </w:rPr>
              <w:t>（1）总监理工程师与监理工程师不得为同一人，监理员不得兼任本项目总监理工程师和监理工程师；三类岗位均不得交叉任职，已按某一岗位计分的人员，不得重复享受其他岗位的加分。</w:t>
            </w:r>
          </w:p>
          <w:p>
            <w:pPr>
              <w:spacing w:line="0" w:lineRule="atLeast"/>
              <w:jc w:val="both"/>
              <w:rPr>
                <w:rFonts w:hint="eastAsia" w:ascii="方正仿宋_GBK" w:eastAsia="方正仿宋_GBK"/>
                <w:bCs/>
                <w:sz w:val="21"/>
                <w:szCs w:val="21"/>
                <w:lang w:eastAsia="zh-CN" w:bidi="ar"/>
              </w:rPr>
            </w:pPr>
            <w:r>
              <w:rPr>
                <w:rFonts w:hint="default" w:ascii="Times New Roman" w:hAnsi="Times New Roman" w:eastAsia="方正仿宋_GBK" w:cs="Times New Roman"/>
                <w:bCs/>
                <w:sz w:val="21"/>
                <w:szCs w:val="21"/>
                <w:lang w:eastAsia="zh-CN" w:bidi="ar"/>
              </w:rPr>
              <w:t>（2）人员证书复印件和养老保险缴纳证明材料均须加盖投标人公章</w:t>
            </w:r>
            <w:r>
              <w:rPr>
                <w:rFonts w:hint="eastAsia" w:cs="Times New Roman"/>
                <w:bCs/>
                <w:sz w:val="21"/>
                <w:szCs w:val="21"/>
                <w:lang w:eastAsia="zh-CN" w:bidi="ar"/>
              </w:rPr>
              <w:t>；</w:t>
            </w:r>
            <w:r>
              <w:rPr>
                <w:rFonts w:hint="default" w:ascii="Times New Roman" w:hAnsi="Times New Roman" w:eastAsia="方正仿宋_GBK" w:cs="Times New Roman"/>
                <w:bCs/>
                <w:sz w:val="21"/>
                <w:szCs w:val="21"/>
                <w:lang w:eastAsia="zh-CN" w:bidi="ar"/>
              </w:rPr>
              <w:t>提供的证书应为现行有效证</w:t>
            </w:r>
            <w:r>
              <w:rPr>
                <w:rFonts w:hint="eastAsia" w:cs="Times New Roman"/>
                <w:bCs/>
                <w:sz w:val="21"/>
                <w:szCs w:val="21"/>
                <w:lang w:eastAsia="zh-CN" w:bidi="ar"/>
              </w:rPr>
              <w:t>；</w:t>
            </w:r>
            <w:r>
              <w:rPr>
                <w:rFonts w:hint="default" w:ascii="Times New Roman" w:hAnsi="Times New Roman" w:eastAsia="方正仿宋_GBK" w:cs="Times New Roman"/>
                <w:bCs/>
                <w:sz w:val="21"/>
                <w:szCs w:val="21"/>
                <w:lang w:eastAsia="zh-CN" w:bidi="ar"/>
              </w:rPr>
              <w:t>养老保险缴纳证明应为投标人为拟派人员在2026年最近连续3个月缴纳的证明，并体现缴费单位为投标人、缴费人员为拟派人员本人及对应的缴费月份。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44" w:type="dxa"/>
            <w:noWrap/>
            <w:tcMar>
              <w:top w:w="15" w:type="dxa"/>
              <w:left w:w="15" w:type="dxa"/>
              <w:right w:w="15" w:type="dxa"/>
            </w:tcMar>
            <w:vAlign w:val="center"/>
          </w:tcPr>
          <w:p>
            <w:pPr>
              <w:spacing w:line="0" w:lineRule="atLeast"/>
              <w:jc w:val="center"/>
              <w:rPr>
                <w:rFonts w:hint="eastAsia" w:ascii="方正黑体_GBK" w:hAnsi="方正黑体_GBK" w:eastAsia="方正黑体_GBK" w:cs="方正黑体_GBK"/>
                <w:kern w:val="0"/>
                <w:sz w:val="28"/>
                <w:szCs w:val="28"/>
                <w:lang w:bidi="ar"/>
              </w:rPr>
            </w:pPr>
            <w:r>
              <w:rPr>
                <w:rFonts w:hint="eastAsia" w:ascii="方正黑体_GBK" w:hAnsi="方正黑体_GBK" w:eastAsia="方正黑体_GBK" w:cs="方正黑体_GBK"/>
                <w:kern w:val="0"/>
                <w:sz w:val="28"/>
                <w:szCs w:val="28"/>
                <w:lang w:bidi="ar"/>
              </w:rPr>
              <w:t>6</w:t>
            </w:r>
          </w:p>
        </w:tc>
        <w:tc>
          <w:tcPr>
            <w:tcW w:w="1178"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监理业绩</w:t>
            </w:r>
          </w:p>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bidi="ar"/>
              </w:rPr>
              <w:t>（</w:t>
            </w:r>
            <w:r>
              <w:rPr>
                <w:rFonts w:hint="eastAsia" w:ascii="方正黑体_GBK" w:hAnsi="方正黑体_GBK" w:eastAsia="方正黑体_GBK" w:cs="方正黑体_GBK"/>
                <w:kern w:val="0"/>
                <w:sz w:val="24"/>
                <w:szCs w:val="24"/>
                <w:lang w:val="en-US" w:eastAsia="zh-CN" w:bidi="ar"/>
              </w:rPr>
              <w:t>10</w:t>
            </w:r>
            <w:r>
              <w:rPr>
                <w:rFonts w:hint="eastAsia" w:ascii="方正黑体_GBK" w:hAnsi="方正黑体_GBK" w:eastAsia="方正黑体_GBK" w:cs="方正黑体_GBK"/>
                <w:kern w:val="0"/>
                <w:sz w:val="24"/>
                <w:szCs w:val="24"/>
                <w:lang w:bidi="ar"/>
              </w:rPr>
              <w:t>%）</w:t>
            </w:r>
          </w:p>
        </w:tc>
        <w:tc>
          <w:tcPr>
            <w:tcW w:w="1425" w:type="dxa"/>
            <w:noWrap/>
            <w:tcMar>
              <w:top w:w="15" w:type="dxa"/>
              <w:left w:w="15" w:type="dxa"/>
              <w:right w:w="15" w:type="dxa"/>
            </w:tcMar>
            <w:vAlign w:val="center"/>
          </w:tcPr>
          <w:p>
            <w:pPr>
              <w:spacing w:line="0" w:lineRule="atLeast"/>
              <w:jc w:val="center"/>
              <w:textAlignment w:val="auto"/>
              <w:rPr>
                <w:rFonts w:hint="eastAsia" w:ascii="方正黑体_GBK" w:hAnsi="方正黑体_GBK" w:eastAsia="方正黑体_GBK" w:cs="方正黑体_GBK"/>
                <w:kern w:val="0"/>
                <w:sz w:val="24"/>
                <w:szCs w:val="24"/>
                <w:lang w:bidi="ar"/>
              </w:rPr>
            </w:pPr>
            <w:r>
              <w:rPr>
                <w:rFonts w:hint="eastAsia" w:ascii="方正黑体_GBK" w:hAnsi="方正黑体_GBK" w:eastAsia="方正黑体_GBK" w:cs="方正黑体_GBK"/>
                <w:kern w:val="0"/>
                <w:sz w:val="24"/>
                <w:szCs w:val="24"/>
                <w:lang w:val="en-US" w:eastAsia="zh-CN" w:bidi="ar"/>
              </w:rPr>
              <w:t>10</w:t>
            </w:r>
            <w:r>
              <w:rPr>
                <w:rFonts w:hint="eastAsia" w:ascii="方正黑体_GBK" w:hAnsi="方正黑体_GBK" w:eastAsia="方正黑体_GBK" w:cs="方正黑体_GBK"/>
                <w:kern w:val="0"/>
                <w:sz w:val="24"/>
                <w:szCs w:val="24"/>
                <w:lang w:bidi="ar"/>
              </w:rPr>
              <w:t>分</w:t>
            </w:r>
          </w:p>
        </w:tc>
        <w:tc>
          <w:tcPr>
            <w:tcW w:w="6165" w:type="dxa"/>
            <w:tcMar>
              <w:top w:w="15" w:type="dxa"/>
              <w:left w:w="15" w:type="dxa"/>
              <w:right w:w="15" w:type="dxa"/>
            </w:tcMar>
            <w:vAlign w:val="center"/>
          </w:tcPr>
          <w:p>
            <w:pPr>
              <w:spacing w:line="0" w:lineRule="atLeast"/>
              <w:rPr>
                <w:rFonts w:hint="default" w:ascii="Times New Roman" w:hAnsi="Times New Roman" w:cs="Times New Roman"/>
                <w:bCs/>
                <w:color w:val="auto"/>
                <w:sz w:val="21"/>
                <w:szCs w:val="21"/>
                <w:lang w:bidi="ar"/>
              </w:rPr>
            </w:pPr>
            <w:r>
              <w:rPr>
                <w:rFonts w:hint="default" w:ascii="Times New Roman" w:hAnsi="Times New Roman" w:cs="Times New Roman"/>
                <w:bCs/>
                <w:color w:val="auto"/>
                <w:sz w:val="21"/>
                <w:szCs w:val="21"/>
                <w:lang w:bidi="ar"/>
              </w:rPr>
              <w:t>2023年1月1日至响应文件递交截止日（以合同签订时间为准），投标人已完成的信息化建设或数字化建设项目监理业绩，每提供1 项得2分，本项最高</w:t>
            </w:r>
            <w:r>
              <w:rPr>
                <w:rFonts w:hint="default" w:ascii="Times New Roman" w:hAnsi="Times New Roman" w:cs="Times New Roman"/>
                <w:bCs/>
                <w:color w:val="auto"/>
                <w:sz w:val="21"/>
                <w:szCs w:val="21"/>
                <w:lang w:val="en-US" w:eastAsia="zh-CN" w:bidi="ar"/>
              </w:rPr>
              <w:t>10</w:t>
            </w:r>
            <w:r>
              <w:rPr>
                <w:rFonts w:hint="default" w:ascii="Times New Roman" w:hAnsi="Times New Roman" w:cs="Times New Roman"/>
                <w:bCs/>
                <w:color w:val="auto"/>
                <w:sz w:val="21"/>
                <w:szCs w:val="21"/>
                <w:lang w:bidi="ar"/>
              </w:rPr>
              <w:t>分。上述业绩不得与资格审查阶段所提供业绩重复。</w:t>
            </w:r>
          </w:p>
          <w:p>
            <w:pPr>
              <w:spacing w:line="0" w:lineRule="atLeast"/>
              <w:rPr>
                <w:rFonts w:hint="eastAsia" w:ascii="方正仿宋_GBK" w:hAnsi="仿宋" w:cs="仿宋"/>
                <w:sz w:val="28"/>
                <w:szCs w:val="36"/>
              </w:rPr>
            </w:pPr>
            <w:r>
              <w:rPr>
                <w:rFonts w:hint="default" w:ascii="Times New Roman" w:hAnsi="Times New Roman" w:cs="Times New Roman"/>
                <w:bCs/>
                <w:color w:val="auto"/>
                <w:sz w:val="21"/>
                <w:szCs w:val="21"/>
                <w:lang w:bidi="ar"/>
              </w:rPr>
              <w:t>证明材料：投标人须提供对应业绩的中标（成交）通知书及合同关键页复印件，逐页加盖投标人公章；材料无法证明监理服务关系、合同签订时间或项目内容的，该项业绩不予认定。</w:t>
            </w:r>
          </w:p>
        </w:tc>
      </w:tr>
    </w:tbl>
    <w:p>
      <w:pPr>
        <w:snapToGrid w:val="0"/>
        <w:spacing w:line="600" w:lineRule="exact"/>
        <w:ind w:firstLine="640" w:firstLineChars="200"/>
        <w:jc w:val="left"/>
        <w:rPr>
          <w:rFonts w:hint="eastAsia" w:ascii="方正黑体_GBK" w:hAnsi="方正黑体_GBK" w:eastAsia="方正黑体_GBK" w:cs="方正黑体_GBK"/>
          <w:szCs w:val="32"/>
        </w:rPr>
      </w:pPr>
      <w:r>
        <w:rPr>
          <w:rFonts w:hint="eastAsia" w:ascii="方正黑体_GBK" w:hAnsi="方正黑体_GBK" w:eastAsia="方正黑体_GBK" w:cs="方正黑体_GBK"/>
          <w:szCs w:val="32"/>
        </w:rPr>
        <w:t>七、资料提供及时间要求</w:t>
      </w:r>
    </w:p>
    <w:p>
      <w:pPr>
        <w:spacing w:line="580" w:lineRule="exact"/>
        <w:ind w:firstLine="640" w:firstLineChars="200"/>
        <w:jc w:val="left"/>
        <w:rPr>
          <w:rFonts w:hint="eastAsia" w:ascii="方正仿宋_GBK" w:hAnsi="方正仿宋_GBK" w:cs="方正仿宋_GBK"/>
          <w:szCs w:val="32"/>
        </w:rPr>
      </w:pPr>
      <w:r>
        <w:rPr>
          <w:rFonts w:hint="eastAsia" w:ascii="方正仿宋_GBK" w:hAnsi="方正仿宋_GBK" w:cs="方正仿宋_GBK"/>
          <w:szCs w:val="32"/>
        </w:rPr>
        <w:t>请投标人凭单位介绍信及本人身份证，于</w:t>
      </w:r>
      <w:r>
        <w:rPr>
          <w:szCs w:val="32"/>
        </w:rPr>
        <w:t>2026年1</w:t>
      </w:r>
      <w:r>
        <w:rPr>
          <w:rFonts w:hint="eastAsia"/>
          <w:szCs w:val="32"/>
          <w:lang w:val="en-US" w:eastAsia="zh-CN"/>
        </w:rPr>
        <w:t>1</w:t>
      </w:r>
      <w:r>
        <w:rPr>
          <w:szCs w:val="32"/>
        </w:rPr>
        <w:t>月</w:t>
      </w:r>
      <w:r>
        <w:rPr>
          <w:rFonts w:hint="eastAsia"/>
          <w:szCs w:val="32"/>
          <w:lang w:val="en-US" w:eastAsia="zh-CN"/>
        </w:rPr>
        <w:t>2</w:t>
      </w:r>
      <w:r>
        <w:rPr>
          <w:szCs w:val="32"/>
        </w:rPr>
        <w:t>日</w:t>
      </w:r>
      <w:r>
        <w:rPr>
          <w:rFonts w:hint="eastAsia" w:ascii="方正仿宋_GBK" w:hAnsi="方正仿宋_GBK" w:cs="方正仿宋_GBK"/>
          <w:szCs w:val="32"/>
        </w:rPr>
        <w:t>（星期</w:t>
      </w:r>
      <w:r>
        <w:rPr>
          <w:rFonts w:hint="eastAsia"/>
          <w:szCs w:val="32"/>
          <w:lang w:val="en-US" w:eastAsia="zh-CN"/>
        </w:rPr>
        <w:t>一</w:t>
      </w:r>
      <w:r>
        <w:rPr>
          <w:rFonts w:hint="eastAsia" w:ascii="方正仿宋_GBK" w:hAnsi="方正仿宋_GBK" w:cs="方正仿宋_GBK"/>
          <w:szCs w:val="32"/>
        </w:rPr>
        <w:t>）</w:t>
      </w:r>
      <w:r>
        <w:rPr>
          <w:szCs w:val="32"/>
        </w:rPr>
        <w:t>17:00</w:t>
      </w:r>
      <w:r>
        <w:rPr>
          <w:rFonts w:hint="eastAsia" w:ascii="方正仿宋_GBK" w:hAnsi="方正仿宋_GBK" w:cs="方正仿宋_GBK"/>
          <w:szCs w:val="32"/>
        </w:rPr>
        <w:t>前，将密封报价函及综合材料（加盖鲜章）递交重庆市农业投资集团有限公司科技创新部（只接受直接送达），逾期不予接受。</w:t>
      </w:r>
    </w:p>
    <w:p>
      <w:pPr>
        <w:spacing w:line="580" w:lineRule="exact"/>
        <w:ind w:firstLine="640" w:firstLineChars="200"/>
        <w:jc w:val="left"/>
        <w:rPr>
          <w:rFonts w:hint="eastAsia" w:ascii="方正仿宋_GBK" w:hAnsi="方正仿宋_GBK" w:cs="方正仿宋_GBK"/>
          <w:szCs w:val="32"/>
        </w:rPr>
      </w:pPr>
      <w:r>
        <w:rPr>
          <w:rFonts w:hint="eastAsia" w:ascii="方正仿宋_GBK" w:hAnsi="方正仿宋_GBK" w:cs="方正仿宋_GBK"/>
          <w:szCs w:val="32"/>
        </w:rPr>
        <w:t>地址：重庆市渝中区中山三路</w:t>
      </w:r>
      <w:r>
        <w:rPr>
          <w:rFonts w:hint="eastAsia"/>
          <w:szCs w:val="32"/>
        </w:rPr>
        <w:t>121</w:t>
      </w:r>
      <w:r>
        <w:rPr>
          <w:rFonts w:hint="eastAsia" w:ascii="方正仿宋_GBK" w:hAnsi="方正仿宋_GBK" w:cs="方正仿宋_GBK"/>
          <w:szCs w:val="32"/>
        </w:rPr>
        <w:t>号中山大厦</w:t>
      </w:r>
      <w:r>
        <w:rPr>
          <w:rFonts w:hint="eastAsia"/>
          <w:szCs w:val="32"/>
        </w:rPr>
        <w:t>21</w:t>
      </w:r>
      <w:r>
        <w:rPr>
          <w:rFonts w:hint="eastAsia" w:ascii="方正仿宋_GBK" w:hAnsi="方正仿宋_GBK" w:cs="方正仿宋_GBK"/>
          <w:szCs w:val="32"/>
        </w:rPr>
        <w:t>楼</w:t>
      </w:r>
    </w:p>
    <w:p>
      <w:pPr>
        <w:spacing w:line="580" w:lineRule="exact"/>
        <w:ind w:firstLine="640" w:firstLineChars="200"/>
        <w:jc w:val="left"/>
        <w:rPr>
          <w:rFonts w:hint="eastAsia" w:ascii="方正仿宋_GBK" w:hAnsi="方正仿宋_GBK" w:cs="方正仿宋_GBK"/>
          <w:szCs w:val="32"/>
        </w:rPr>
      </w:pPr>
      <w:r>
        <w:rPr>
          <w:rFonts w:hint="eastAsia" w:ascii="方正仿宋_GBK" w:hAnsi="方正仿宋_GBK" w:cs="方正仿宋_GBK"/>
          <w:szCs w:val="32"/>
        </w:rPr>
        <w:t>联系人：姚老师，电话：</w:t>
      </w:r>
      <w:r>
        <w:rPr>
          <w:rFonts w:hint="eastAsia"/>
          <w:szCs w:val="32"/>
        </w:rPr>
        <w:t>023-63266696</w:t>
      </w:r>
    </w:p>
    <w:p>
      <w:pPr>
        <w:widowControl/>
        <w:spacing w:line="580" w:lineRule="exact"/>
        <w:ind w:firstLine="640" w:firstLineChars="200"/>
        <w:jc w:val="left"/>
        <w:rPr>
          <w:rFonts w:hint="eastAsia" w:ascii="仿宋" w:hAnsi="仿宋" w:eastAsia="仿宋" w:cs="方正仿宋_GBK"/>
          <w:szCs w:val="32"/>
        </w:rPr>
      </w:pPr>
      <w:r>
        <w:rPr>
          <w:rFonts w:hint="eastAsia" w:ascii="仿宋" w:hAnsi="仿宋" w:eastAsia="仿宋" w:cs="方正仿宋_GBK"/>
          <w:color w:val="000000"/>
          <w:szCs w:val="32"/>
        </w:rPr>
        <w:t xml:space="preserve">                    </w:t>
      </w:r>
      <w:r>
        <w:rPr>
          <w:rFonts w:hint="eastAsia" w:ascii="仿宋" w:hAnsi="仿宋" w:eastAsia="仿宋" w:cs="方正仿宋_GBK"/>
          <w:szCs w:val="32"/>
        </w:rPr>
        <w:t xml:space="preserve">      </w:t>
      </w:r>
    </w:p>
    <w:p>
      <w:pPr>
        <w:pStyle w:val="2"/>
        <w:rPr>
          <w:rFonts w:hint="eastAsia" w:ascii="仿宋" w:hAnsi="仿宋" w:eastAsia="仿宋" w:cs="方正仿宋_GBK"/>
          <w:szCs w:val="32"/>
        </w:rPr>
      </w:pPr>
    </w:p>
    <w:p>
      <w:pPr>
        <w:pStyle w:val="3"/>
        <w:rPr>
          <w:rFonts w:hint="eastAsia" w:ascii="仿宋" w:hAnsi="仿宋" w:eastAsia="仿宋" w:cs="方正仿宋_GBK"/>
          <w:szCs w:val="32"/>
        </w:rPr>
      </w:pPr>
    </w:p>
    <w:p>
      <w:pPr>
        <w:rPr>
          <w:rFonts w:hint="eastAsia"/>
        </w:rPr>
      </w:pPr>
    </w:p>
    <w:p>
      <w:pPr>
        <w:spacing w:line="580" w:lineRule="exact"/>
        <w:ind w:firstLine="640" w:firstLineChars="200"/>
        <w:jc w:val="right"/>
        <w:rPr>
          <w:rFonts w:hint="eastAsia" w:ascii="方正仿宋_GBK" w:hAnsi="方正仿宋_GBK" w:cs="方正仿宋_GBK"/>
          <w:szCs w:val="32"/>
        </w:rPr>
      </w:pPr>
      <w:r>
        <w:rPr>
          <w:rFonts w:hint="eastAsia" w:ascii="方正仿宋_GBK" w:hAnsi="方正仿宋_GBK" w:cs="方正仿宋_GBK"/>
          <w:szCs w:val="32"/>
        </w:rPr>
        <w:t>重庆市农业投资集团有限公司</w:t>
      </w:r>
    </w:p>
    <w:p>
      <w:pPr>
        <w:spacing w:line="580" w:lineRule="exact"/>
        <w:ind w:firstLine="640" w:firstLineChars="200"/>
        <w:jc w:val="center"/>
        <w:rPr>
          <w:rFonts w:hint="eastAsia" w:ascii="方正仿宋_GBK" w:hAnsi="方正仿宋_GBK" w:cs="方正仿宋_GBK"/>
          <w:szCs w:val="32"/>
        </w:rPr>
        <w:sectPr>
          <w:footerReference r:id="rId3" w:type="default"/>
          <w:pgSz w:w="11906" w:h="16838"/>
          <w:pgMar w:top="1984" w:right="1446" w:bottom="1644" w:left="1446" w:header="851" w:footer="992" w:gutter="0"/>
          <w:pgNumType w:fmt="numberInDash"/>
          <w:cols w:space="720" w:num="1"/>
          <w:docGrid w:type="lines" w:linePitch="312" w:charSpace="0"/>
        </w:sectPr>
      </w:pPr>
      <w:r>
        <w:rPr>
          <w:rFonts w:hint="eastAsia" w:ascii="方正仿宋_GBK" w:hAnsi="方正仿宋_GBK" w:cs="方正仿宋_GBK"/>
          <w:szCs w:val="32"/>
        </w:rPr>
        <w:t xml:space="preserve">                        </w:t>
      </w:r>
      <w:r>
        <w:rPr>
          <w:szCs w:val="32"/>
        </w:rPr>
        <w:t xml:space="preserve">     2026年10月</w:t>
      </w:r>
      <w:r>
        <w:rPr>
          <w:rFonts w:hint="eastAsia"/>
          <w:szCs w:val="32"/>
          <w:lang w:val="en-US" w:eastAsia="zh-CN"/>
        </w:rPr>
        <w:t>26</w:t>
      </w:r>
      <w:r>
        <w:rPr>
          <w:szCs w:val="32"/>
        </w:rPr>
        <w:t>日</w:t>
      </w:r>
    </w:p>
    <w:p>
      <w:pPr>
        <w:snapToGrid w:val="0"/>
        <w:spacing w:line="640" w:lineRule="exact"/>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重庆市农业投资集团有限公司</w:t>
      </w:r>
    </w:p>
    <w:p>
      <w:pPr>
        <w:snapToGrid w:val="0"/>
        <w:spacing w:line="640" w:lineRule="exact"/>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信息系统信创升级改造及推广项目</w:t>
      </w:r>
    </w:p>
    <w:p>
      <w:pPr>
        <w:snapToGrid w:val="0"/>
        <w:spacing w:line="640" w:lineRule="exact"/>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监理服务</w:t>
      </w:r>
    </w:p>
    <w:p>
      <w:pPr>
        <w:snapToGrid w:val="0"/>
        <w:spacing w:line="640" w:lineRule="exact"/>
        <w:jc w:val="center"/>
        <w:rPr>
          <w:rFonts w:hint="eastAsia" w:ascii="仿宋" w:hAnsi="仿宋" w:eastAsia="仿宋" w:cs="方正小标宋_GBK"/>
          <w:spacing w:val="-6"/>
          <w:sz w:val="44"/>
          <w:szCs w:val="44"/>
        </w:rPr>
      </w:pPr>
    </w:p>
    <w:p>
      <w:pPr>
        <w:snapToGrid w:val="0"/>
        <w:spacing w:line="700" w:lineRule="exact"/>
        <w:jc w:val="center"/>
        <w:rPr>
          <w:rFonts w:hint="eastAsia" w:ascii="仿宋" w:hAnsi="仿宋" w:eastAsia="仿宋"/>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仿宋" w:hAnsi="仿宋" w:eastAsia="仿宋" w:cs="PMingLiU-ExtB"/>
          <w:kern w:val="0"/>
          <w:sz w:val="44"/>
          <w:szCs w:val="44"/>
        </w:rPr>
      </w:pPr>
      <w:r>
        <w:rPr>
          <w:rFonts w:hint="eastAsia" w:ascii="仿宋" w:hAnsi="仿宋" w:eastAsia="仿宋" w:cs="PMingLiU-ExtB"/>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仿宋" w:hAnsi="仿宋" w:eastAsia="仿宋" w:cs="PMingLiU-ExtB"/>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仿宋" w:hAnsi="仿宋" w:eastAsia="仿宋" w:cs="方正小标宋_GBK"/>
          <w:b/>
          <w:kern w:val="0"/>
          <w:sz w:val="84"/>
          <w:szCs w:val="84"/>
        </w:rPr>
      </w:pPr>
      <w:r>
        <w:rPr>
          <w:rFonts w:hint="eastAsia" w:ascii="仿宋" w:hAnsi="仿宋" w:eastAsia="仿宋" w:cs="方正小标宋_GBK"/>
          <w:b/>
          <w:kern w:val="0"/>
          <w:sz w:val="84"/>
          <w:szCs w:val="84"/>
        </w:rPr>
        <w:t>响 应 文 件</w:t>
      </w:r>
    </w:p>
    <w:p>
      <w:pPr>
        <w:autoSpaceDE w:val="0"/>
        <w:autoSpaceDN w:val="0"/>
        <w:adjustRightInd w:val="0"/>
        <w:snapToGrid w:val="0"/>
        <w:spacing w:line="360" w:lineRule="auto"/>
        <w:jc w:val="left"/>
        <w:rPr>
          <w:rFonts w:hint="eastAsia" w:ascii="仿宋" w:hAnsi="仿宋" w:eastAsia="仿宋" w:cs="PMingLiU-ExtB"/>
          <w:kern w:val="0"/>
          <w:sz w:val="16"/>
          <w:szCs w:val="16"/>
        </w:rPr>
      </w:pPr>
    </w:p>
    <w:p>
      <w:pPr>
        <w:autoSpaceDE w:val="0"/>
        <w:autoSpaceDN w:val="0"/>
        <w:adjustRightInd w:val="0"/>
        <w:snapToGrid w:val="0"/>
        <w:spacing w:line="360" w:lineRule="auto"/>
        <w:jc w:val="left"/>
        <w:rPr>
          <w:rFonts w:hint="eastAsia" w:ascii="仿宋" w:hAnsi="仿宋" w:eastAsia="仿宋" w:cs="PMingLiU-ExtB"/>
          <w:b/>
          <w:kern w:val="0"/>
          <w:sz w:val="20"/>
        </w:rPr>
      </w:pPr>
    </w:p>
    <w:p>
      <w:pPr>
        <w:autoSpaceDE w:val="0"/>
        <w:autoSpaceDN w:val="0"/>
        <w:adjustRightInd w:val="0"/>
        <w:snapToGrid w:val="0"/>
        <w:spacing w:line="360" w:lineRule="auto"/>
        <w:jc w:val="left"/>
        <w:rPr>
          <w:rFonts w:hint="eastAsia" w:ascii="仿宋" w:hAnsi="仿宋" w:eastAsia="仿宋" w:cs="PMingLiU-ExtB"/>
          <w:b/>
          <w:kern w:val="0"/>
          <w:sz w:val="20"/>
        </w:rPr>
      </w:pPr>
    </w:p>
    <w:p>
      <w:pPr>
        <w:autoSpaceDE w:val="0"/>
        <w:autoSpaceDN w:val="0"/>
        <w:adjustRightInd w:val="0"/>
        <w:snapToGrid w:val="0"/>
        <w:spacing w:line="360" w:lineRule="auto"/>
        <w:jc w:val="left"/>
        <w:rPr>
          <w:rFonts w:hint="eastAsia" w:ascii="仿宋" w:hAnsi="仿宋" w:eastAsia="仿宋" w:cs="PMingLiU-ExtB"/>
          <w:b/>
          <w:kern w:val="0"/>
          <w:sz w:val="20"/>
        </w:rPr>
      </w:pPr>
    </w:p>
    <w:p>
      <w:pPr>
        <w:autoSpaceDE w:val="0"/>
        <w:autoSpaceDN w:val="0"/>
        <w:adjustRightInd w:val="0"/>
        <w:snapToGrid w:val="0"/>
        <w:spacing w:line="360" w:lineRule="auto"/>
        <w:jc w:val="left"/>
        <w:rPr>
          <w:rFonts w:hint="eastAsia" w:ascii="仿宋" w:hAnsi="仿宋" w:eastAsia="仿宋" w:cs="PMingLiU-ExtB"/>
          <w:b/>
          <w:kern w:val="0"/>
          <w:sz w:val="20"/>
        </w:rPr>
      </w:pPr>
    </w:p>
    <w:p>
      <w:pPr>
        <w:autoSpaceDE w:val="0"/>
        <w:autoSpaceDN w:val="0"/>
        <w:adjustRightInd w:val="0"/>
        <w:snapToGrid w:val="0"/>
        <w:spacing w:line="360" w:lineRule="auto"/>
        <w:jc w:val="left"/>
        <w:rPr>
          <w:rFonts w:hint="eastAsia" w:ascii="仿宋" w:hAnsi="仿宋" w:eastAsia="仿宋" w:cs="PMingLiU-ExtB"/>
          <w:b/>
          <w:kern w:val="0"/>
          <w:sz w:val="20"/>
        </w:rPr>
      </w:pPr>
    </w:p>
    <w:p>
      <w:pPr>
        <w:autoSpaceDE w:val="0"/>
        <w:autoSpaceDN w:val="0"/>
        <w:adjustRightInd w:val="0"/>
        <w:snapToGrid w:val="0"/>
        <w:spacing w:line="360" w:lineRule="auto"/>
        <w:jc w:val="left"/>
        <w:rPr>
          <w:rFonts w:hint="eastAsia" w:ascii="仿宋" w:hAnsi="仿宋" w:eastAsia="仿宋" w:cs="PMingLiU-ExtB"/>
          <w:b/>
          <w:kern w:val="0"/>
          <w:sz w:val="20"/>
        </w:rPr>
      </w:pPr>
    </w:p>
    <w:p>
      <w:pPr>
        <w:tabs>
          <w:tab w:val="left" w:pos="6080"/>
          <w:tab w:val="left" w:pos="6640"/>
        </w:tabs>
        <w:autoSpaceDE w:val="0"/>
        <w:autoSpaceDN w:val="0"/>
        <w:adjustRightInd w:val="0"/>
        <w:snapToGrid w:val="0"/>
        <w:spacing w:line="360" w:lineRule="auto"/>
        <w:jc w:val="center"/>
        <w:rPr>
          <w:rFonts w:hint="eastAsia" w:ascii="仿宋" w:hAnsi="仿宋" w:eastAsia="仿宋" w:cs="方正仿宋_GBK"/>
          <w:b/>
          <w:w w:val="99"/>
          <w:kern w:val="0"/>
          <w:szCs w:val="32"/>
        </w:rPr>
      </w:pPr>
      <w:r>
        <w:rPr>
          <w:rFonts w:hint="eastAsia" w:ascii="仿宋" w:hAnsi="仿宋" w:eastAsia="仿宋" w:cs="方正仿宋_GBK"/>
          <w:b/>
          <w:w w:val="99"/>
          <w:kern w:val="0"/>
          <w:szCs w:val="32"/>
        </w:rPr>
        <w:t>比选报价人</w:t>
      </w:r>
      <w:r>
        <w:rPr>
          <w:rFonts w:hint="eastAsia" w:ascii="仿宋" w:hAnsi="仿宋" w:eastAsia="仿宋" w:cs="方正仿宋_GBK"/>
          <w:b/>
          <w:spacing w:val="1"/>
          <w:w w:val="99"/>
          <w:kern w:val="0"/>
          <w:szCs w:val="32"/>
        </w:rPr>
        <w:t>：</w:t>
      </w:r>
      <w:r>
        <w:rPr>
          <w:rFonts w:hint="eastAsia" w:ascii="仿宋" w:hAnsi="仿宋" w:eastAsia="仿宋" w:cs="方正仿宋_GBK"/>
          <w:b/>
          <w:w w:val="198"/>
          <w:kern w:val="0"/>
          <w:szCs w:val="32"/>
          <w:u w:val="single"/>
        </w:rPr>
        <w:t xml:space="preserve"> 　　　　 　　</w:t>
      </w:r>
      <w:r>
        <w:rPr>
          <w:rFonts w:hint="eastAsia" w:ascii="仿宋" w:hAnsi="仿宋" w:eastAsia="仿宋" w:cs="方正仿宋_GBK"/>
          <w:b/>
          <w:w w:val="99"/>
          <w:kern w:val="0"/>
          <w:szCs w:val="32"/>
        </w:rPr>
        <w:t>（盖单位公章）</w:t>
      </w:r>
    </w:p>
    <w:p>
      <w:pPr>
        <w:tabs>
          <w:tab w:val="left" w:pos="6080"/>
          <w:tab w:val="left" w:pos="6640"/>
        </w:tabs>
        <w:autoSpaceDE w:val="0"/>
        <w:autoSpaceDN w:val="0"/>
        <w:adjustRightInd w:val="0"/>
        <w:snapToGrid w:val="0"/>
        <w:spacing w:line="360" w:lineRule="auto"/>
        <w:jc w:val="center"/>
        <w:rPr>
          <w:rFonts w:hint="eastAsia" w:ascii="仿宋" w:hAnsi="仿宋" w:eastAsia="仿宋" w:cs="方正仿宋_GBK"/>
          <w:b/>
          <w:kern w:val="0"/>
          <w:szCs w:val="32"/>
        </w:rPr>
      </w:pPr>
      <w:r>
        <w:rPr>
          <w:rFonts w:hint="eastAsia" w:ascii="仿宋" w:hAnsi="仿宋" w:eastAsia="仿宋" w:cs="方正仿宋_GBK"/>
          <w:b/>
          <w:w w:val="99"/>
          <w:kern w:val="0"/>
          <w:szCs w:val="32"/>
        </w:rPr>
        <w:t>法定代表人或其委托代理人：</w:t>
      </w:r>
      <w:r>
        <w:rPr>
          <w:rFonts w:hint="eastAsia" w:ascii="仿宋" w:hAnsi="仿宋" w:eastAsia="仿宋" w:cs="方正仿宋_GBK"/>
          <w:b/>
          <w:w w:val="198"/>
          <w:kern w:val="0"/>
          <w:szCs w:val="32"/>
          <w:u w:val="single"/>
        </w:rPr>
        <w:t xml:space="preserve">  　　　</w:t>
      </w:r>
      <w:r>
        <w:rPr>
          <w:rFonts w:hint="eastAsia" w:ascii="仿宋" w:hAnsi="仿宋" w:eastAsia="仿宋" w:cs="方正仿宋_GBK"/>
          <w:b/>
          <w:w w:val="99"/>
          <w:kern w:val="0"/>
          <w:szCs w:val="32"/>
        </w:rPr>
        <w:t>（签字）</w:t>
      </w:r>
    </w:p>
    <w:p>
      <w:pPr>
        <w:tabs>
          <w:tab w:val="left" w:pos="3280"/>
          <w:tab w:val="left" w:pos="4680"/>
          <w:tab w:val="left" w:pos="6080"/>
        </w:tabs>
        <w:autoSpaceDE w:val="0"/>
        <w:autoSpaceDN w:val="0"/>
        <w:adjustRightInd w:val="0"/>
        <w:snapToGrid w:val="0"/>
        <w:spacing w:line="360" w:lineRule="auto"/>
        <w:jc w:val="center"/>
        <w:rPr>
          <w:rFonts w:hint="eastAsia" w:ascii="仿宋" w:hAnsi="仿宋" w:eastAsia="仿宋" w:cs="方正仿宋_GBK"/>
          <w:b/>
          <w:kern w:val="0"/>
          <w:szCs w:val="32"/>
        </w:rPr>
      </w:pPr>
      <w:r>
        <w:rPr>
          <w:rFonts w:hint="eastAsia" w:ascii="仿宋" w:hAnsi="仿宋" w:eastAsia="仿宋" w:cs="方正仿宋_GBK"/>
          <w:b/>
          <w:w w:val="99"/>
          <w:kern w:val="0"/>
          <w:szCs w:val="32"/>
          <w:u w:val="single"/>
        </w:rPr>
        <w:t xml:space="preserve">       </w:t>
      </w:r>
      <w:r>
        <w:rPr>
          <w:rFonts w:hint="eastAsia" w:ascii="仿宋" w:hAnsi="仿宋" w:eastAsia="仿宋" w:cs="方正仿宋_GBK"/>
          <w:b/>
          <w:w w:val="99"/>
          <w:kern w:val="0"/>
          <w:szCs w:val="32"/>
        </w:rPr>
        <w:t>年</w:t>
      </w:r>
      <w:r>
        <w:rPr>
          <w:rFonts w:hint="eastAsia" w:ascii="仿宋" w:hAnsi="仿宋" w:eastAsia="仿宋" w:cs="方正仿宋_GBK"/>
          <w:b/>
          <w:w w:val="198"/>
          <w:kern w:val="0"/>
          <w:szCs w:val="32"/>
          <w:u w:val="single"/>
        </w:rPr>
        <w:t xml:space="preserve">  </w:t>
      </w:r>
      <w:r>
        <w:rPr>
          <w:rFonts w:hint="eastAsia" w:ascii="仿宋" w:hAnsi="仿宋" w:eastAsia="仿宋" w:cs="方正仿宋_GBK"/>
          <w:b/>
          <w:w w:val="99"/>
          <w:kern w:val="0"/>
          <w:szCs w:val="32"/>
        </w:rPr>
        <w:t>月</w:t>
      </w:r>
      <w:r>
        <w:rPr>
          <w:rFonts w:hint="eastAsia" w:ascii="仿宋" w:hAnsi="仿宋" w:eastAsia="仿宋" w:cs="方正仿宋_GBK"/>
          <w:b/>
          <w:w w:val="198"/>
          <w:kern w:val="0"/>
          <w:szCs w:val="32"/>
          <w:u w:val="single"/>
        </w:rPr>
        <w:t xml:space="preserve">  </w:t>
      </w:r>
      <w:r>
        <w:rPr>
          <w:rFonts w:hint="eastAsia" w:ascii="仿宋" w:hAnsi="仿宋" w:eastAsia="仿宋" w:cs="方正仿宋_GBK"/>
          <w:b/>
          <w:w w:val="99"/>
          <w:kern w:val="0"/>
          <w:szCs w:val="32"/>
        </w:rPr>
        <w:t>日</w:t>
      </w:r>
    </w:p>
    <w:p>
      <w:pPr>
        <w:widowControl/>
        <w:spacing w:line="500" w:lineRule="exact"/>
        <w:jc w:val="center"/>
        <w:rPr>
          <w:rFonts w:hint="eastAsia" w:ascii="仿宋" w:hAnsi="仿宋" w:eastAsia="仿宋" w:cs="方正仿宋_GBK"/>
          <w:b/>
          <w:szCs w:val="32"/>
        </w:rPr>
        <w:sectPr>
          <w:pgSz w:w="11906" w:h="16838"/>
          <w:pgMar w:top="1984" w:right="1446" w:bottom="1644" w:left="1446" w:header="851" w:footer="992" w:gutter="0"/>
          <w:pgNumType w:fmt="numberInDash"/>
          <w:cols w:space="720" w:num="1"/>
          <w:docGrid w:type="lines" w:linePitch="312" w:charSpace="0"/>
        </w:sectPr>
      </w:pPr>
    </w:p>
    <w:p>
      <w:pPr>
        <w:spacing w:line="600" w:lineRule="exact"/>
        <w:jc w:val="center"/>
        <w:rPr>
          <w:rFonts w:hint="eastAsia" w:ascii="方正小标宋_GBK" w:hAnsi="方正小标宋_GBK" w:eastAsia="方正小标宋_GBK" w:cs="方正小标宋_GBK"/>
          <w:color w:val="000000"/>
          <w:sz w:val="44"/>
          <w:szCs w:val="44"/>
          <w:highlight w:val="none"/>
          <w:lang w:val="en-US" w:eastAsia="zh-CN"/>
        </w:rPr>
      </w:pPr>
      <w:r>
        <w:rPr>
          <w:rFonts w:hint="eastAsia" w:ascii="方正小标宋_GBK" w:hAnsi="方正小标宋_GBK" w:eastAsia="方正小标宋_GBK" w:cs="方正小标宋_GBK"/>
          <w:color w:val="000000"/>
          <w:sz w:val="44"/>
          <w:szCs w:val="44"/>
          <w:highlight w:val="none"/>
          <w:lang w:val="en-US" w:eastAsia="zh-CN"/>
        </w:rPr>
        <w:t>响应文件目录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rPr>
      </w:pP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color w:val="000000"/>
          <w:szCs w:val="32"/>
        </w:rPr>
        <w:t>一、</w:t>
      </w:r>
      <w:r>
        <w:rPr>
          <w:rFonts w:hint="eastAsia" w:ascii="方正仿宋_GBK" w:hAnsi="方正仿宋_GBK" w:eastAsia="方正仿宋_GBK" w:cs="方正仿宋_GBK"/>
          <w:szCs w:val="32"/>
        </w:rPr>
        <w:t>公司简介（</w:t>
      </w:r>
      <w:r>
        <w:rPr>
          <w:rFonts w:hint="eastAsia" w:ascii="方正仿宋_GBK" w:hAnsi="方正仿宋_GBK" w:eastAsia="方正仿宋_GBK" w:cs="方正仿宋_GBK"/>
          <w:szCs w:val="32"/>
          <w:lang w:val="en-US" w:eastAsia="zh-CN"/>
        </w:rPr>
        <w:t>建议</w:t>
      </w:r>
      <w:r>
        <w:rPr>
          <w:rFonts w:hint="default" w:ascii="Times New Roman" w:hAnsi="Times New Roman" w:eastAsia="方正仿宋_GBK" w:cs="Times New Roman"/>
          <w:szCs w:val="32"/>
        </w:rPr>
        <w:t>500</w:t>
      </w:r>
      <w:r>
        <w:rPr>
          <w:rFonts w:hint="eastAsia" w:ascii="方正仿宋_GBK" w:hAnsi="方正仿宋_GBK" w:eastAsia="方正仿宋_GBK" w:cs="方正仿宋_GBK"/>
          <w:szCs w:val="32"/>
        </w:rPr>
        <w:t>字以内）；</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二、公司营业执照副本复印件一份（加盖鲜章）；</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三</w:t>
      </w:r>
      <w:r>
        <w:rPr>
          <w:rFonts w:hint="eastAsia" w:ascii="方正仿宋_GBK" w:hAnsi="方正仿宋_GBK" w:eastAsia="方正仿宋_GBK" w:cs="方正仿宋_GBK"/>
          <w:color w:val="000000"/>
          <w:szCs w:val="32"/>
        </w:rPr>
        <w:t>、</w:t>
      </w:r>
      <w:r>
        <w:rPr>
          <w:rFonts w:hint="eastAsia" w:ascii="方正仿宋_GBK" w:hAnsi="方正仿宋_GBK" w:eastAsia="方正仿宋_GBK" w:cs="方正仿宋_GBK"/>
          <w:szCs w:val="32"/>
        </w:rPr>
        <w:t>法定代表人身份证明及授权委托书（原件）一份；</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四、报价函（原件）一份；</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五、投标人资格要求证明文件（加盖公章）；</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六、人员资质（提供人员资质资格证书复印件、近</w:t>
      </w:r>
      <w:r>
        <w:rPr>
          <w:rFonts w:hint="default" w:ascii="Times New Roman" w:hAnsi="Times New Roman" w:eastAsia="方正仿宋_GBK" w:cs="Times New Roman"/>
          <w:szCs w:val="32"/>
        </w:rPr>
        <w:t>3</w:t>
      </w:r>
      <w:r>
        <w:rPr>
          <w:rFonts w:hint="eastAsia" w:ascii="方正仿宋_GBK" w:hAnsi="方正仿宋_GBK" w:eastAsia="方正仿宋_GBK" w:cs="方正仿宋_GBK"/>
          <w:szCs w:val="32"/>
        </w:rPr>
        <w:t>个月社会保险缴纳记录，上述所有资料均须加盖单位公章）；</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szCs w:val="32"/>
        </w:rPr>
        <w:t>七、业绩要求证明（提供合同关键页复印件</w:t>
      </w:r>
      <w:r>
        <w:rPr>
          <w:rFonts w:hint="eastAsia" w:ascii="方正仿宋_GBK" w:hAnsi="方正仿宋_GBK" w:eastAsia="方正仿宋_GBK" w:cs="方正仿宋_GBK"/>
          <w:szCs w:val="32"/>
          <w:lang w:val="en-US" w:eastAsia="zh-CN"/>
        </w:rPr>
        <w:t>和</w:t>
      </w:r>
      <w:r>
        <w:rPr>
          <w:rFonts w:hint="eastAsia" w:ascii="方正仿宋_GBK" w:hAnsi="方正仿宋_GBK" w:eastAsia="方正仿宋_GBK" w:cs="方正仿宋_GBK"/>
          <w:szCs w:val="32"/>
        </w:rPr>
        <w:t>中标（成交）通知书关键页复印件）；</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eastAsia="方正仿宋_GBK" w:cs="方正仿宋_GBK"/>
          <w:szCs w:val="32"/>
          <w:highlight w:val="none"/>
          <w:lang w:eastAsia="zh-CN"/>
        </w:rPr>
      </w:pPr>
      <w:r>
        <w:rPr>
          <w:rFonts w:hint="eastAsia" w:ascii="方正仿宋_GBK" w:hAnsi="方正仿宋_GBK" w:eastAsia="方正仿宋_GBK" w:cs="方正仿宋_GBK"/>
          <w:szCs w:val="32"/>
          <w:highlight w:val="none"/>
        </w:rPr>
        <w:t>八、投标人应对照本公告</w:t>
      </w:r>
      <w:r>
        <w:rPr>
          <w:rFonts w:hint="eastAsia" w:ascii="方正仿宋_GBK" w:hAnsi="方正仿宋_GBK" w:cs="方正仿宋_GBK"/>
          <w:szCs w:val="32"/>
          <w:highlight w:val="none"/>
          <w:lang w:eastAsia="zh-CN"/>
        </w:rPr>
        <w:t>“</w:t>
      </w:r>
      <w:r>
        <w:rPr>
          <w:rFonts w:hint="eastAsia" w:ascii="方正仿宋_GBK" w:hAnsi="方正仿宋_GBK" w:eastAsia="方正仿宋_GBK" w:cs="方正仿宋_GBK"/>
          <w:szCs w:val="32"/>
          <w:highlight w:val="none"/>
        </w:rPr>
        <w:t>六、采购评分办法</w:t>
      </w:r>
      <w:r>
        <w:rPr>
          <w:rFonts w:hint="eastAsia" w:ascii="方正仿宋_GBK" w:hAnsi="方正仿宋_GBK" w:cs="方正仿宋_GBK"/>
          <w:szCs w:val="32"/>
          <w:highlight w:val="none"/>
          <w:lang w:eastAsia="zh-CN"/>
        </w:rPr>
        <w:t>”</w:t>
      </w:r>
      <w:r>
        <w:rPr>
          <w:rFonts w:hint="eastAsia" w:ascii="方正仿宋_GBK" w:hAnsi="方正仿宋_GBK" w:eastAsia="方正仿宋_GBK" w:cs="方正仿宋_GBK"/>
          <w:szCs w:val="32"/>
          <w:highlight w:val="none"/>
        </w:rPr>
        <w:t>所列各评分项，逐项编制并提交与之对应的服务能力证明材料及监理</w:t>
      </w:r>
      <w:r>
        <w:rPr>
          <w:rFonts w:hint="eastAsia" w:ascii="方正仿宋_GBK" w:hAnsi="方正仿宋_GBK" w:cs="方正仿宋_GBK"/>
          <w:szCs w:val="32"/>
          <w:highlight w:val="none"/>
          <w:lang w:val="en-US" w:eastAsia="zh-CN"/>
        </w:rPr>
        <w:t>服务</w:t>
      </w:r>
      <w:r>
        <w:rPr>
          <w:rFonts w:hint="eastAsia" w:ascii="方正仿宋_GBK" w:hAnsi="方正仿宋_GBK" w:eastAsia="方正仿宋_GBK" w:cs="方正仿宋_GBK"/>
          <w:szCs w:val="32"/>
          <w:highlight w:val="none"/>
        </w:rPr>
        <w:t>方案（格式自拟，加盖投标人公章）</w:t>
      </w:r>
      <w:r>
        <w:rPr>
          <w:rFonts w:hint="eastAsia" w:ascii="方正仿宋_GBK" w:hAnsi="方正仿宋_GBK" w:cs="方正仿宋_GBK"/>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K" w:hAnsi="方正仿宋_GBK" w:cs="方正仿宋_GBK"/>
          <w:szCs w:val="32"/>
          <w:highlight w:val="none"/>
          <w:lang w:eastAsia="zh-CN"/>
        </w:rPr>
      </w:pPr>
      <w:r>
        <w:rPr>
          <w:rFonts w:hint="eastAsia" w:ascii="仿宋" w:hAnsi="仿宋" w:eastAsia="仿宋"/>
          <w:szCs w:val="32"/>
          <w:highlight w:val="none"/>
          <w:lang w:val="en-US" w:eastAsia="zh-CN"/>
        </w:rPr>
        <w:t>九、对“二、服务内容及要求”的响应表</w:t>
      </w:r>
      <w:r>
        <w:rPr>
          <w:rFonts w:hint="eastAsia" w:ascii="方正仿宋_GBK" w:hAnsi="方正仿宋_GBK" w:eastAsia="方正仿宋_GBK" w:cs="方正仿宋_GBK"/>
          <w:szCs w:val="32"/>
          <w:highlight w:val="none"/>
        </w:rPr>
        <w:t>（加盖公章）</w:t>
      </w:r>
      <w:r>
        <w:rPr>
          <w:rFonts w:hint="eastAsia" w:ascii="方正仿宋_GBK" w:hAnsi="方正仿宋_GBK" w:cs="方正仿宋_GBK"/>
          <w:szCs w:val="32"/>
          <w:highlight w:val="none"/>
          <w:lang w:eastAsia="zh-CN"/>
        </w:rPr>
        <w:t>。</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以上响应文件资料须编制正本一份、副本一份，正、副本均应逐页加盖单位公章并装订成册，不得使用活页；另附电子扫描件（光盘或</w:t>
      </w:r>
      <w:r>
        <w:rPr>
          <w:rFonts w:hint="eastAsia" w:ascii="方正仿宋_GBK" w:hAnsi="方正仿宋_GBK" w:cs="方正仿宋_GBK"/>
          <w:szCs w:val="32"/>
          <w:lang w:val="en-US" w:eastAsia="zh-CN"/>
        </w:rPr>
        <w:t>优</w:t>
      </w:r>
      <w:r>
        <w:rPr>
          <w:rFonts w:hint="eastAsia" w:ascii="方正仿宋_GBK" w:hAnsi="方正仿宋_GBK" w:eastAsia="方正仿宋_GBK" w:cs="方正仿宋_GBK"/>
          <w:szCs w:val="32"/>
        </w:rPr>
        <w:t>盘）一套。响应文件须密封递交，封套注明项目名称及报价单位。竞争性比选报价单位对所提交全部资料的合法性、真实性承担法律责任。</w:t>
      </w:r>
    </w:p>
    <w:p>
      <w:pPr>
        <w:rPr>
          <w:rFonts w:hint="eastAsia" w:ascii="仿宋" w:hAnsi="仿宋" w:eastAsia="仿宋"/>
          <w:color w:val="000000"/>
          <w:sz w:val="28"/>
          <w:szCs w:val="28"/>
        </w:rPr>
        <w:sectPr>
          <w:pgSz w:w="11906" w:h="16838"/>
          <w:pgMar w:top="1984" w:right="1446" w:bottom="1644" w:left="1446" w:header="851" w:footer="992" w:gutter="283"/>
          <w:pgNumType w:fmt="numberInDash"/>
          <w:cols w:space="720" w:num="1"/>
          <w:docGrid w:type="lines" w:linePitch="312" w:charSpace="0"/>
        </w:sectPr>
      </w:pPr>
      <w:r>
        <w:rPr>
          <w:rFonts w:hint="eastAsia" w:ascii="仿宋" w:hAnsi="仿宋" w:eastAsia="仿宋"/>
          <w:color w:val="000000"/>
          <w:sz w:val="28"/>
          <w:szCs w:val="28"/>
        </w:rPr>
        <w:br w:type="page"/>
      </w:r>
    </w:p>
    <w:p>
      <w:pPr>
        <w:spacing w:line="600" w:lineRule="exact"/>
        <w:jc w:val="left"/>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一、公司简介（</w:t>
      </w:r>
      <w:r>
        <w:rPr>
          <w:rFonts w:hint="eastAsia" w:ascii="方正仿宋_GBK" w:hAnsi="方正仿宋_GBK" w:eastAsia="方正仿宋_GBK" w:cs="方正仿宋_GBK"/>
          <w:szCs w:val="32"/>
          <w:lang w:val="en-US" w:eastAsia="zh-CN"/>
        </w:rPr>
        <w:t>建议</w:t>
      </w:r>
      <w:r>
        <w:rPr>
          <w:rFonts w:hint="eastAsia" w:ascii="方正仿宋_GBK" w:hAnsi="方正仿宋_GBK" w:eastAsia="方正仿宋_GBK" w:cs="方正仿宋_GBK"/>
          <w:szCs w:val="32"/>
        </w:rPr>
        <w:t>500字以内）；</w:t>
      </w:r>
    </w:p>
    <w:p>
      <w:pPr>
        <w:rPr>
          <w:rFonts w:hint="eastAsia" w:ascii="仿宋" w:hAnsi="仿宋" w:eastAsia="仿宋"/>
          <w:color w:val="000000"/>
          <w:sz w:val="28"/>
          <w:szCs w:val="28"/>
        </w:rPr>
        <w:sectPr>
          <w:pgSz w:w="11906" w:h="16838"/>
          <w:pgMar w:top="1984" w:right="1446" w:bottom="1644" w:left="1446" w:header="851" w:footer="992" w:gutter="283"/>
          <w:pgNumType w:fmt="numberInDash"/>
          <w:cols w:space="720" w:num="1"/>
          <w:docGrid w:type="lines" w:linePitch="312" w:charSpace="0"/>
        </w:sectPr>
      </w:pPr>
    </w:p>
    <w:p>
      <w:pPr>
        <w:spacing w:line="600" w:lineRule="exact"/>
        <w:jc w:val="left"/>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二、公司营业执照副本复印件一份（加盖鲜章）；</w:t>
      </w:r>
    </w:p>
    <w:p>
      <w:pPr>
        <w:spacing w:line="600" w:lineRule="exact"/>
        <w:jc w:val="left"/>
        <w:rPr>
          <w:rFonts w:hint="eastAsia" w:ascii="仿宋" w:hAnsi="仿宋" w:eastAsia="仿宋"/>
          <w:szCs w:val="32"/>
        </w:rPr>
        <w:sectPr>
          <w:pgSz w:w="11906" w:h="16838"/>
          <w:pgMar w:top="1984" w:right="1446" w:bottom="1644" w:left="1446" w:header="851" w:footer="992" w:gutter="283"/>
          <w:pgNumType w:fmt="numberInDash"/>
          <w:cols w:space="720" w:num="1"/>
          <w:docGrid w:type="lines" w:linePitch="312" w:charSpace="0"/>
        </w:sectPr>
      </w:pPr>
    </w:p>
    <w:p>
      <w:pPr>
        <w:spacing w:line="600" w:lineRule="exact"/>
        <w:jc w:val="left"/>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三、法定代表人身份证明及授权委托书（原件）一份；</w:t>
      </w:r>
    </w:p>
    <w:p>
      <w:pPr>
        <w:tabs>
          <w:tab w:val="left" w:pos="6300"/>
        </w:tabs>
        <w:snapToGrid w:val="0"/>
        <w:spacing w:line="500" w:lineRule="exact"/>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一</w:t>
      </w:r>
      <w:r>
        <w:rPr>
          <w:rFonts w:hint="eastAsia" w:ascii="宋体" w:hAnsi="宋体"/>
          <w:color w:val="auto"/>
          <w:sz w:val="24"/>
          <w:highlight w:val="none"/>
        </w:rPr>
        <w:t>）法定代表人身份证明书（格式）</w:t>
      </w:r>
    </w:p>
    <w:p>
      <w:pPr>
        <w:tabs>
          <w:tab w:val="left" w:pos="6300"/>
        </w:tabs>
        <w:snapToGrid w:val="0"/>
        <w:spacing w:line="500" w:lineRule="exact"/>
        <w:ind w:firstLine="570"/>
        <w:rPr>
          <w:rFonts w:ascii="宋体" w:hAnsi="宋体"/>
          <w:color w:val="auto"/>
          <w:sz w:val="24"/>
          <w:highlight w:val="none"/>
        </w:rPr>
      </w:pPr>
    </w:p>
    <w:p>
      <w:pPr>
        <w:snapToGrid/>
        <w:spacing w:line="520" w:lineRule="exact"/>
        <w:ind w:firstLine="480" w:firstLineChars="200"/>
        <w:jc w:val="left"/>
        <w:rPr>
          <w:rFonts w:hint="eastAsia" w:ascii="仿宋" w:hAnsi="仿宋" w:eastAsia="仿宋" w:cs="方正仿宋_GBK"/>
          <w:color w:val="auto"/>
          <w:sz w:val="24"/>
          <w:highlight w:val="none"/>
        </w:rPr>
      </w:pPr>
      <w:r>
        <w:rPr>
          <w:rFonts w:hint="eastAsia" w:ascii="仿宋" w:hAnsi="仿宋" w:eastAsia="仿宋" w:cs="方正仿宋_GBK"/>
          <w:color w:val="auto"/>
          <w:sz w:val="24"/>
          <w:highlight w:val="none"/>
          <w:u w:val="none"/>
        </w:rPr>
        <w:t xml:space="preserve">        </w:t>
      </w:r>
      <w:r>
        <w:rPr>
          <w:rFonts w:hint="eastAsia" w:ascii="仿宋" w:hAnsi="仿宋" w:eastAsia="仿宋" w:cs="方正仿宋_GBK"/>
          <w:color w:val="auto"/>
          <w:sz w:val="24"/>
          <w:highlight w:val="none"/>
        </w:rPr>
        <w:t>（法定代表人姓名）在</w:t>
      </w:r>
      <w:r>
        <w:rPr>
          <w:rFonts w:hint="eastAsia" w:ascii="仿宋" w:hAnsi="仿宋" w:eastAsia="仿宋" w:cs="方正仿宋_GBK"/>
          <w:color w:val="auto"/>
          <w:sz w:val="24"/>
          <w:highlight w:val="none"/>
          <w:u w:val="none"/>
        </w:rPr>
        <w:t xml:space="preserve">                       </w:t>
      </w:r>
      <w:r>
        <w:rPr>
          <w:rFonts w:hint="eastAsia" w:ascii="仿宋" w:hAnsi="仿宋" w:eastAsia="仿宋" w:cs="方正仿宋_GBK"/>
          <w:color w:val="auto"/>
          <w:sz w:val="24"/>
          <w:highlight w:val="none"/>
        </w:rPr>
        <w:t>（投标人名称）任</w:t>
      </w:r>
      <w:r>
        <w:rPr>
          <w:rFonts w:hint="eastAsia" w:ascii="仿宋" w:hAnsi="仿宋" w:eastAsia="仿宋" w:cs="方正仿宋_GBK"/>
          <w:color w:val="auto"/>
          <w:sz w:val="24"/>
          <w:highlight w:val="none"/>
          <w:u w:val="none"/>
        </w:rPr>
        <w:t xml:space="preserve">    </w:t>
      </w:r>
      <w:r>
        <w:rPr>
          <w:rFonts w:hint="eastAsia" w:ascii="仿宋" w:hAnsi="仿宋" w:eastAsia="仿宋" w:cs="方正仿宋_GBK"/>
          <w:color w:val="auto"/>
          <w:sz w:val="24"/>
          <w:highlight w:val="none"/>
        </w:rPr>
        <w:t>（职务名称）职务，是（投标人名称）</w:t>
      </w:r>
      <w:r>
        <w:rPr>
          <w:rFonts w:hint="eastAsia" w:ascii="仿宋" w:hAnsi="仿宋" w:eastAsia="仿宋" w:cs="方正仿宋_GBK"/>
          <w:color w:val="auto"/>
          <w:sz w:val="24"/>
          <w:highlight w:val="none"/>
          <w:u w:val="none"/>
        </w:rPr>
        <w:t xml:space="preserve">              </w:t>
      </w:r>
      <w:r>
        <w:rPr>
          <w:rFonts w:hint="eastAsia" w:ascii="仿宋" w:hAnsi="仿宋" w:eastAsia="仿宋" w:cs="方正仿宋_GBK"/>
          <w:color w:val="auto"/>
          <w:sz w:val="24"/>
          <w:highlight w:val="none"/>
        </w:rPr>
        <w:t>的法定代表人。</w:t>
      </w:r>
    </w:p>
    <w:p>
      <w:pPr>
        <w:snapToGrid/>
        <w:spacing w:line="520" w:lineRule="exact"/>
        <w:ind w:firstLine="480" w:firstLineChars="200"/>
        <w:jc w:val="left"/>
        <w:rPr>
          <w:rFonts w:hint="eastAsia" w:ascii="仿宋" w:hAnsi="仿宋" w:eastAsia="仿宋" w:cs="方正仿宋_GBK"/>
          <w:color w:val="auto"/>
          <w:sz w:val="24"/>
          <w:highlight w:val="none"/>
        </w:rPr>
      </w:pPr>
    </w:p>
    <w:p>
      <w:pPr>
        <w:snapToGrid/>
        <w:spacing w:line="520" w:lineRule="exact"/>
        <w:ind w:firstLine="480" w:firstLineChars="200"/>
        <w:jc w:val="left"/>
        <w:rPr>
          <w:rFonts w:hint="eastAsia" w:ascii="仿宋" w:hAnsi="仿宋" w:eastAsia="仿宋" w:cs="方正仿宋_GBK"/>
          <w:color w:val="auto"/>
          <w:sz w:val="24"/>
          <w:highlight w:val="none"/>
        </w:rPr>
      </w:pPr>
      <w:r>
        <w:rPr>
          <w:rFonts w:hint="eastAsia" w:ascii="仿宋" w:hAnsi="仿宋" w:eastAsia="仿宋" w:cs="方正仿宋_GBK"/>
          <w:color w:val="auto"/>
          <w:sz w:val="24"/>
          <w:highlight w:val="none"/>
        </w:rPr>
        <w:t>特此证明。</w:t>
      </w:r>
    </w:p>
    <w:p>
      <w:pPr>
        <w:snapToGrid/>
        <w:spacing w:line="520" w:lineRule="exact"/>
        <w:ind w:firstLine="480" w:firstLineChars="200"/>
        <w:jc w:val="left"/>
        <w:rPr>
          <w:rFonts w:hint="eastAsia" w:ascii="仿宋" w:hAnsi="仿宋" w:eastAsia="仿宋" w:cs="方正仿宋_GBK"/>
          <w:color w:val="auto"/>
          <w:sz w:val="24"/>
          <w:highlight w:val="none"/>
        </w:rPr>
      </w:pPr>
      <w:r>
        <w:rPr>
          <w:rFonts w:hint="eastAsia" w:ascii="仿宋" w:hAnsi="仿宋" w:eastAsia="仿宋" w:cs="方正仿宋_GBK"/>
          <w:color w:val="auto"/>
          <w:sz w:val="24"/>
          <w:highlight w:val="none"/>
        </w:rPr>
        <w:t>（附：法定代表人身份证正反面复印件）</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5"/>
        <w:gridCol w:w="4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trPr>
        <w:tc>
          <w:tcPr>
            <w:tcW w:w="4365" w:type="dxa"/>
          </w:tcPr>
          <w:p>
            <w:pPr>
              <w:spacing w:line="520" w:lineRule="exact"/>
              <w:ind w:firstLine="480" w:firstLineChars="200"/>
              <w:jc w:val="left"/>
              <w:rPr>
                <w:rFonts w:hint="eastAsia" w:ascii="仿宋" w:hAnsi="仿宋" w:eastAsia="仿宋" w:cs="方正仿宋_GBK"/>
                <w:sz w:val="24"/>
                <w:szCs w:val="22"/>
                <w:vertAlign w:val="baseline"/>
                <w:lang w:val="en-US" w:eastAsia="zh-CN"/>
              </w:rPr>
            </w:pPr>
            <w:r>
              <w:rPr>
                <w:rFonts w:hint="eastAsia" w:ascii="仿宋" w:hAnsi="仿宋" w:eastAsia="仿宋" w:cs="方正仿宋_GBK"/>
                <w:sz w:val="24"/>
                <w:szCs w:val="22"/>
                <w:vertAlign w:val="baseline"/>
                <w:lang w:val="en-US" w:eastAsia="zh-CN"/>
              </w:rPr>
              <w:t>身份证正面</w:t>
            </w:r>
          </w:p>
        </w:tc>
        <w:tc>
          <w:tcPr>
            <w:tcW w:w="4366" w:type="dxa"/>
          </w:tcPr>
          <w:p>
            <w:pPr>
              <w:spacing w:line="520" w:lineRule="exact"/>
              <w:ind w:firstLine="480" w:firstLineChars="200"/>
              <w:jc w:val="left"/>
              <w:rPr>
                <w:rFonts w:hint="eastAsia" w:ascii="仿宋" w:hAnsi="仿宋" w:eastAsia="仿宋" w:cs="方正仿宋_GBK"/>
                <w:sz w:val="24"/>
                <w:szCs w:val="22"/>
                <w:vertAlign w:val="baseline"/>
              </w:rPr>
            </w:pPr>
            <w:r>
              <w:rPr>
                <w:rFonts w:hint="eastAsia" w:ascii="仿宋" w:hAnsi="仿宋" w:eastAsia="仿宋" w:cs="方正仿宋_GBK"/>
                <w:sz w:val="24"/>
                <w:szCs w:val="22"/>
                <w:vertAlign w:val="baseline"/>
                <w:lang w:val="en-US" w:eastAsia="zh-CN"/>
              </w:rPr>
              <w:t>身份证反面</w:t>
            </w:r>
          </w:p>
        </w:tc>
      </w:tr>
    </w:tbl>
    <w:p>
      <w:pPr>
        <w:spacing w:line="600" w:lineRule="exact"/>
        <w:jc w:val="left"/>
        <w:rPr>
          <w:rFonts w:hint="eastAsia" w:ascii="仿宋" w:hAnsi="仿宋" w:eastAsia="仿宋"/>
          <w:szCs w:val="32"/>
        </w:rPr>
      </w:pPr>
    </w:p>
    <w:p>
      <w:pPr>
        <w:spacing w:line="520" w:lineRule="exact"/>
        <w:rPr>
          <w:rFonts w:hint="eastAsia" w:ascii="仿宋" w:hAnsi="仿宋" w:eastAsia="仿宋"/>
          <w:sz w:val="24"/>
        </w:rPr>
      </w:pPr>
      <w:r>
        <w:rPr>
          <w:rFonts w:hint="eastAsia" w:ascii="仿宋" w:hAnsi="仿宋" w:eastAsia="仿宋" w:cs="方正仿宋_GBK"/>
          <w:sz w:val="24"/>
        </w:rPr>
        <w:t>比选人：</w:t>
      </w:r>
      <w:r>
        <w:rPr>
          <w:rFonts w:hint="eastAsia" w:ascii="仿宋" w:hAnsi="仿宋" w:eastAsia="仿宋"/>
          <w:sz w:val="24"/>
          <w:u w:val="single"/>
        </w:rPr>
        <w:t xml:space="preserve">  </w:t>
      </w:r>
      <w:r>
        <w:rPr>
          <w:rFonts w:hint="eastAsia" w:ascii="仿宋" w:hAnsi="仿宋" w:eastAsia="仿宋" w:cs="方正仿宋_GBK"/>
          <w:sz w:val="24"/>
          <w:u w:val="single"/>
        </w:rPr>
        <w:t xml:space="preserve">   （竞争性比选报价单位全称）</w:t>
      </w:r>
      <w:r>
        <w:rPr>
          <w:rFonts w:hint="eastAsia" w:ascii="仿宋" w:hAnsi="仿宋" w:eastAsia="仿宋"/>
          <w:sz w:val="24"/>
          <w:u w:val="single"/>
        </w:rPr>
        <w:t xml:space="preserve">         </w:t>
      </w:r>
      <w:r>
        <w:rPr>
          <w:rFonts w:hint="eastAsia" w:ascii="仿宋" w:hAnsi="仿宋" w:eastAsia="仿宋" w:cs="方正仿宋_GBK"/>
          <w:sz w:val="24"/>
        </w:rPr>
        <w:t>（盖单位章）</w:t>
      </w:r>
    </w:p>
    <w:p>
      <w:pPr>
        <w:spacing w:line="520" w:lineRule="exact"/>
        <w:rPr>
          <w:rFonts w:hint="eastAsia" w:ascii="仿宋" w:hAnsi="仿宋" w:eastAsia="仿宋"/>
          <w:sz w:val="24"/>
        </w:rPr>
      </w:pPr>
      <w:r>
        <w:rPr>
          <w:rFonts w:hint="eastAsia" w:ascii="仿宋" w:hAnsi="仿宋" w:eastAsia="仿宋" w:cs="方正仿宋_GBK"/>
          <w:sz w:val="24"/>
        </w:rPr>
        <w:t>法定代表人：</w:t>
      </w:r>
      <w:r>
        <w:rPr>
          <w:rFonts w:hint="eastAsia" w:ascii="仿宋" w:hAnsi="仿宋" w:eastAsia="仿宋"/>
          <w:sz w:val="24"/>
          <w:u w:val="single"/>
        </w:rPr>
        <w:t xml:space="preserve">             </w:t>
      </w:r>
      <w:r>
        <w:rPr>
          <w:rFonts w:hint="eastAsia" w:ascii="仿宋" w:hAnsi="仿宋" w:eastAsia="仿宋" w:cs="方正仿宋_GBK"/>
          <w:sz w:val="24"/>
        </w:rPr>
        <w:t>（签字）</w:t>
      </w:r>
    </w:p>
    <w:p>
      <w:pPr>
        <w:jc w:val="left"/>
        <w:rPr>
          <w:rFonts w:hint="eastAsia" w:ascii="仿宋" w:hAnsi="仿宋" w:eastAsia="仿宋"/>
          <w:color w:val="000000"/>
          <w:sz w:val="28"/>
          <w:szCs w:val="28"/>
        </w:rPr>
      </w:pPr>
    </w:p>
    <w:p>
      <w:pPr>
        <w:spacing w:line="520" w:lineRule="exact"/>
        <w:ind w:firstLine="480" w:firstLineChars="200"/>
        <w:jc w:val="right"/>
        <w:rPr>
          <w:rFonts w:hint="eastAsia" w:ascii="仿宋" w:hAnsi="仿宋" w:eastAsia="仿宋" w:cs="方正仿宋_GBK"/>
          <w:sz w:val="24"/>
        </w:rPr>
      </w:pPr>
      <w:r>
        <w:rPr>
          <w:rFonts w:hint="eastAsia" w:ascii="仿宋" w:hAnsi="仿宋" w:eastAsia="仿宋"/>
          <w:sz w:val="24"/>
        </w:rPr>
        <w:t xml:space="preserve">                         </w:t>
      </w:r>
      <w:r>
        <w:rPr>
          <w:rFonts w:hint="eastAsia" w:ascii="仿宋" w:hAnsi="仿宋" w:eastAsia="仿宋" w:cs="方正仿宋_GBK"/>
          <w:sz w:val="24"/>
        </w:rPr>
        <w:t xml:space="preserve"> 年   月   日</w:t>
      </w:r>
    </w:p>
    <w:p>
      <w:pPr>
        <w:jc w:val="left"/>
        <w:rPr>
          <w:rFonts w:hint="eastAsia" w:ascii="仿宋" w:hAnsi="仿宋" w:eastAsia="仿宋"/>
          <w:color w:val="000000"/>
          <w:sz w:val="28"/>
          <w:szCs w:val="28"/>
        </w:rPr>
        <w:sectPr>
          <w:pgSz w:w="11906" w:h="16838"/>
          <w:pgMar w:top="1984" w:right="1446" w:bottom="1644" w:left="1446" w:header="851" w:footer="992" w:gutter="283"/>
          <w:pgNumType w:fmt="numberInDash"/>
          <w:cols w:space="720" w:num="1"/>
          <w:docGrid w:type="lines" w:linePitch="312" w:charSpace="0"/>
        </w:sectPr>
      </w:pPr>
    </w:p>
    <w:p>
      <w:pPr>
        <w:tabs>
          <w:tab w:val="left" w:pos="6300"/>
        </w:tabs>
        <w:snapToGrid w:val="0"/>
        <w:spacing w:line="500" w:lineRule="exact"/>
        <w:ind w:firstLine="480" w:firstLineChars="200"/>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二</w:t>
      </w:r>
      <w:r>
        <w:rPr>
          <w:rFonts w:hint="eastAsia" w:ascii="宋体" w:hAnsi="宋体"/>
          <w:color w:val="auto"/>
          <w:sz w:val="24"/>
          <w:highlight w:val="none"/>
        </w:rPr>
        <w:t>）法定代表人授权委托书（格式）</w:t>
      </w:r>
    </w:p>
    <w:p>
      <w:pPr>
        <w:widowControl/>
        <w:spacing w:line="500" w:lineRule="exact"/>
        <w:rPr>
          <w:rFonts w:hint="eastAsia" w:ascii="仿宋" w:hAnsi="仿宋" w:eastAsia="仿宋"/>
          <w:b/>
          <w:sz w:val="30"/>
        </w:rPr>
      </w:pPr>
    </w:p>
    <w:p>
      <w:pPr>
        <w:spacing w:line="520" w:lineRule="exact"/>
        <w:ind w:firstLine="480" w:firstLineChars="200"/>
        <w:jc w:val="left"/>
        <w:rPr>
          <w:rFonts w:hint="eastAsia" w:ascii="仿宋" w:hAnsi="仿宋" w:eastAsia="仿宋" w:cs="方正仿宋_GBK"/>
          <w:sz w:val="24"/>
        </w:rPr>
      </w:pPr>
      <w:r>
        <w:rPr>
          <w:rFonts w:hint="eastAsia" w:ascii="仿宋" w:hAnsi="仿宋" w:eastAsia="仿宋" w:cs="方正仿宋_GBK"/>
          <w:sz w:val="24"/>
        </w:rPr>
        <w:t>本授权委托书声明：</w:t>
      </w:r>
      <w:r>
        <w:rPr>
          <w:rFonts w:hint="eastAsia" w:ascii="仿宋" w:hAnsi="仿宋" w:eastAsia="仿宋"/>
          <w:sz w:val="24"/>
          <w:u w:val="single"/>
        </w:rPr>
        <w:t xml:space="preserve">  </w:t>
      </w:r>
      <w:r>
        <w:rPr>
          <w:rFonts w:hint="eastAsia" w:ascii="仿宋" w:hAnsi="仿宋" w:eastAsia="仿宋" w:cs="方正仿宋_GBK"/>
          <w:sz w:val="24"/>
          <w:u w:val="single"/>
        </w:rPr>
        <w:t xml:space="preserve">（姓名） </w:t>
      </w:r>
      <w:r>
        <w:rPr>
          <w:rFonts w:hint="eastAsia" w:ascii="仿宋" w:hAnsi="仿宋" w:eastAsia="仿宋"/>
          <w:sz w:val="24"/>
        </w:rPr>
        <w:t>系</w:t>
      </w:r>
      <w:r>
        <w:rPr>
          <w:rFonts w:hint="eastAsia" w:ascii="仿宋" w:hAnsi="仿宋" w:eastAsia="仿宋"/>
          <w:sz w:val="24"/>
          <w:u w:val="single"/>
        </w:rPr>
        <w:t xml:space="preserve">  </w:t>
      </w:r>
      <w:r>
        <w:rPr>
          <w:rFonts w:hint="eastAsia" w:ascii="仿宋" w:hAnsi="仿宋" w:eastAsia="仿宋" w:cs="方正仿宋_GBK"/>
          <w:sz w:val="24"/>
          <w:u w:val="single"/>
        </w:rPr>
        <w:t xml:space="preserve">（竞争性比选报价单位名称）  </w:t>
      </w:r>
      <w:r>
        <w:rPr>
          <w:rFonts w:hint="eastAsia" w:ascii="仿宋" w:hAnsi="仿宋" w:eastAsia="仿宋" w:cs="方正仿宋_GBK"/>
          <w:sz w:val="24"/>
        </w:rPr>
        <w:t>的法定代表人，现委托</w:t>
      </w:r>
      <w:r>
        <w:rPr>
          <w:rFonts w:hint="eastAsia" w:ascii="仿宋" w:hAnsi="仿宋" w:eastAsia="仿宋"/>
          <w:sz w:val="24"/>
          <w:u w:val="single"/>
        </w:rPr>
        <w:t xml:space="preserve">  </w:t>
      </w:r>
      <w:r>
        <w:rPr>
          <w:rFonts w:hint="eastAsia" w:ascii="仿宋" w:hAnsi="仿宋" w:eastAsia="仿宋" w:cs="方正仿宋_GBK"/>
          <w:sz w:val="24"/>
          <w:u w:val="single"/>
        </w:rPr>
        <w:t xml:space="preserve">（姓名） </w:t>
      </w:r>
      <w:r>
        <w:rPr>
          <w:rFonts w:hint="eastAsia" w:ascii="仿宋" w:hAnsi="仿宋" w:eastAsia="仿宋" w:cs="方正仿宋_GBK"/>
          <w:sz w:val="24"/>
        </w:rPr>
        <w:t>为我方代理人，代理人根据授权，以我方名义签署、澄清、说明、补正、递交、撤回、修改</w:t>
      </w:r>
      <w:r>
        <w:rPr>
          <w:rFonts w:hint="eastAsia" w:ascii="仿宋" w:hAnsi="仿宋" w:eastAsia="仿宋"/>
          <w:sz w:val="24"/>
          <w:u w:val="single"/>
        </w:rPr>
        <w:t xml:space="preserve">             </w:t>
      </w:r>
      <w:r>
        <w:rPr>
          <w:rFonts w:hint="eastAsia" w:ascii="仿宋" w:hAnsi="仿宋" w:eastAsia="仿宋" w:cs="方正仿宋_GBK"/>
          <w:sz w:val="24"/>
        </w:rPr>
        <w:t>公开竞争性比选报价文件、签订合同和处理有关事宜，其法律后果由我方承担。</w:t>
      </w:r>
    </w:p>
    <w:p>
      <w:pPr>
        <w:spacing w:line="520" w:lineRule="exact"/>
        <w:ind w:firstLine="480" w:firstLineChars="200"/>
        <w:rPr>
          <w:rFonts w:hint="eastAsia" w:ascii="仿宋" w:hAnsi="仿宋" w:eastAsia="仿宋" w:cs="方正仿宋_GBK"/>
          <w:sz w:val="24"/>
        </w:rPr>
      </w:pPr>
      <w:r>
        <w:rPr>
          <w:rFonts w:hint="eastAsia" w:ascii="仿宋" w:hAnsi="仿宋" w:eastAsia="仿宋" w:cs="方正仿宋_GBK"/>
          <w:sz w:val="24"/>
        </w:rPr>
        <w:t>代理人无转委托权。特此委托。</w:t>
      </w:r>
    </w:p>
    <w:p>
      <w:pPr>
        <w:spacing w:line="520" w:lineRule="exact"/>
        <w:rPr>
          <w:rFonts w:hint="eastAsia" w:ascii="宋体" w:hAnsi="宋体"/>
          <w:color w:val="auto"/>
          <w:sz w:val="24"/>
          <w:highlight w:val="none"/>
        </w:rPr>
      </w:pPr>
      <w:r>
        <w:rPr>
          <w:rFonts w:hint="eastAsia" w:ascii="宋体" w:hAnsi="宋体"/>
          <w:color w:val="auto"/>
          <w:sz w:val="24"/>
          <w:highlight w:val="none"/>
        </w:rPr>
        <w:t>（附：被授权人身份证正反面复印件）</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5"/>
        <w:gridCol w:w="4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trPr>
        <w:tc>
          <w:tcPr>
            <w:tcW w:w="4365" w:type="dxa"/>
          </w:tcPr>
          <w:p>
            <w:pPr>
              <w:spacing w:line="520" w:lineRule="exact"/>
              <w:ind w:firstLine="480" w:firstLineChars="200"/>
              <w:jc w:val="left"/>
              <w:rPr>
                <w:rFonts w:hint="eastAsia" w:ascii="仿宋" w:hAnsi="仿宋" w:eastAsia="仿宋" w:cs="方正仿宋_GBK"/>
                <w:sz w:val="24"/>
                <w:szCs w:val="22"/>
                <w:vertAlign w:val="baseline"/>
                <w:lang w:val="en-US" w:eastAsia="zh-CN"/>
              </w:rPr>
            </w:pPr>
            <w:r>
              <w:rPr>
                <w:rFonts w:hint="eastAsia" w:ascii="仿宋" w:hAnsi="仿宋" w:eastAsia="仿宋" w:cs="方正仿宋_GBK"/>
                <w:sz w:val="24"/>
                <w:szCs w:val="22"/>
                <w:vertAlign w:val="baseline"/>
                <w:lang w:val="en-US" w:eastAsia="zh-CN"/>
              </w:rPr>
              <w:t>身份证正面</w:t>
            </w:r>
          </w:p>
        </w:tc>
        <w:tc>
          <w:tcPr>
            <w:tcW w:w="4366" w:type="dxa"/>
          </w:tcPr>
          <w:p>
            <w:pPr>
              <w:spacing w:line="520" w:lineRule="exact"/>
              <w:ind w:firstLine="480" w:firstLineChars="200"/>
              <w:jc w:val="left"/>
              <w:rPr>
                <w:rFonts w:hint="eastAsia" w:ascii="仿宋" w:hAnsi="仿宋" w:eastAsia="仿宋" w:cs="方正仿宋_GBK"/>
                <w:sz w:val="24"/>
                <w:szCs w:val="22"/>
                <w:vertAlign w:val="baseline"/>
              </w:rPr>
            </w:pPr>
            <w:r>
              <w:rPr>
                <w:rFonts w:hint="eastAsia" w:ascii="仿宋" w:hAnsi="仿宋" w:eastAsia="仿宋" w:cs="方正仿宋_GBK"/>
                <w:sz w:val="24"/>
                <w:szCs w:val="22"/>
                <w:vertAlign w:val="baseline"/>
                <w:lang w:val="en-US" w:eastAsia="zh-CN"/>
              </w:rPr>
              <w:t>身份证反面</w:t>
            </w:r>
          </w:p>
        </w:tc>
      </w:tr>
    </w:tbl>
    <w:p>
      <w:pPr>
        <w:spacing w:line="520" w:lineRule="exact"/>
        <w:rPr>
          <w:rFonts w:hint="eastAsia" w:ascii="仿宋" w:hAnsi="仿宋" w:eastAsia="仿宋" w:cs="方正仿宋_GBK"/>
          <w:sz w:val="24"/>
        </w:rPr>
      </w:pPr>
    </w:p>
    <w:p>
      <w:pPr>
        <w:spacing w:line="520" w:lineRule="exact"/>
        <w:rPr>
          <w:rFonts w:hint="eastAsia" w:ascii="仿宋" w:hAnsi="仿宋" w:eastAsia="仿宋"/>
          <w:sz w:val="24"/>
        </w:rPr>
      </w:pPr>
      <w:r>
        <w:rPr>
          <w:rFonts w:hint="eastAsia" w:ascii="仿宋" w:hAnsi="仿宋" w:eastAsia="仿宋" w:cs="方正仿宋_GBK"/>
          <w:sz w:val="24"/>
        </w:rPr>
        <w:t>比选人：</w:t>
      </w:r>
      <w:r>
        <w:rPr>
          <w:rFonts w:hint="eastAsia" w:ascii="仿宋" w:hAnsi="仿宋" w:eastAsia="仿宋"/>
          <w:sz w:val="24"/>
          <w:u w:val="single"/>
        </w:rPr>
        <w:t xml:space="preserve">  </w:t>
      </w:r>
      <w:r>
        <w:rPr>
          <w:rFonts w:hint="eastAsia" w:ascii="仿宋" w:hAnsi="仿宋" w:eastAsia="仿宋" w:cs="方正仿宋_GBK"/>
          <w:sz w:val="24"/>
          <w:u w:val="single"/>
        </w:rPr>
        <w:t xml:space="preserve">   （竞争性比选报价单位全称）</w:t>
      </w:r>
      <w:r>
        <w:rPr>
          <w:rFonts w:hint="eastAsia" w:ascii="仿宋" w:hAnsi="仿宋" w:eastAsia="仿宋"/>
          <w:sz w:val="24"/>
          <w:u w:val="single"/>
        </w:rPr>
        <w:t xml:space="preserve">         </w:t>
      </w:r>
      <w:r>
        <w:rPr>
          <w:rFonts w:hint="eastAsia" w:ascii="仿宋" w:hAnsi="仿宋" w:eastAsia="仿宋" w:cs="方正仿宋_GBK"/>
          <w:sz w:val="24"/>
        </w:rPr>
        <w:t>（盖单位章）</w:t>
      </w:r>
    </w:p>
    <w:p>
      <w:pPr>
        <w:spacing w:line="520" w:lineRule="exact"/>
        <w:rPr>
          <w:rFonts w:hint="eastAsia" w:ascii="仿宋" w:hAnsi="仿宋" w:eastAsia="仿宋"/>
          <w:sz w:val="24"/>
        </w:rPr>
      </w:pPr>
      <w:r>
        <w:rPr>
          <w:rFonts w:hint="eastAsia" w:ascii="仿宋" w:hAnsi="仿宋" w:eastAsia="仿宋" w:cs="方正仿宋_GBK"/>
          <w:sz w:val="24"/>
        </w:rPr>
        <w:t>法定代表人：</w:t>
      </w:r>
      <w:r>
        <w:rPr>
          <w:rFonts w:hint="eastAsia" w:ascii="仿宋" w:hAnsi="仿宋" w:eastAsia="仿宋"/>
          <w:sz w:val="24"/>
          <w:u w:val="single"/>
        </w:rPr>
        <w:t xml:space="preserve">             </w:t>
      </w:r>
      <w:r>
        <w:rPr>
          <w:rFonts w:hint="eastAsia" w:ascii="仿宋" w:hAnsi="仿宋" w:eastAsia="仿宋" w:cs="方正仿宋_GBK"/>
          <w:sz w:val="24"/>
        </w:rPr>
        <w:t>（签字）</w:t>
      </w:r>
    </w:p>
    <w:p>
      <w:pPr>
        <w:spacing w:line="520" w:lineRule="exact"/>
        <w:rPr>
          <w:rFonts w:hint="eastAsia" w:ascii="仿宋" w:hAnsi="仿宋" w:eastAsia="仿宋"/>
          <w:sz w:val="24"/>
          <w:u w:val="single"/>
        </w:rPr>
      </w:pPr>
      <w:r>
        <w:rPr>
          <w:rFonts w:hint="eastAsia" w:ascii="仿宋" w:hAnsi="仿宋" w:eastAsia="仿宋" w:cs="方正仿宋_GBK"/>
          <w:sz w:val="24"/>
        </w:rPr>
        <w:t>身份证号码：</w:t>
      </w:r>
      <w:r>
        <w:rPr>
          <w:rFonts w:hint="eastAsia" w:ascii="仿宋" w:hAnsi="仿宋" w:eastAsia="仿宋" w:cs="方正仿宋_GBK"/>
          <w:sz w:val="24"/>
          <w:u w:val="single"/>
        </w:rPr>
        <w:t xml:space="preserve">    </w:t>
      </w:r>
      <w:r>
        <w:rPr>
          <w:rFonts w:hint="eastAsia" w:ascii="仿宋" w:hAnsi="仿宋" w:eastAsia="仿宋"/>
          <w:sz w:val="24"/>
          <w:u w:val="single"/>
        </w:rPr>
        <w:t xml:space="preserve">              </w:t>
      </w:r>
    </w:p>
    <w:p>
      <w:pPr>
        <w:spacing w:line="520" w:lineRule="exact"/>
        <w:rPr>
          <w:rFonts w:hint="eastAsia" w:ascii="仿宋" w:hAnsi="仿宋" w:eastAsia="仿宋" w:cs="方正仿宋_GBK"/>
          <w:sz w:val="24"/>
        </w:rPr>
      </w:pPr>
      <w:r>
        <w:rPr>
          <w:rFonts w:hint="eastAsia" w:ascii="仿宋" w:hAnsi="仿宋" w:eastAsia="仿宋" w:cs="方正仿宋_GBK"/>
          <w:sz w:val="24"/>
        </w:rPr>
        <w:t>委托代理人：</w:t>
      </w:r>
      <w:r>
        <w:rPr>
          <w:rFonts w:hint="eastAsia" w:ascii="仿宋" w:hAnsi="仿宋" w:eastAsia="仿宋"/>
          <w:sz w:val="24"/>
          <w:u w:val="single"/>
        </w:rPr>
        <w:t xml:space="preserve">              </w:t>
      </w:r>
      <w:r>
        <w:rPr>
          <w:rFonts w:hint="eastAsia" w:ascii="仿宋" w:hAnsi="仿宋" w:eastAsia="仿宋" w:cs="方正仿宋_GBK"/>
          <w:sz w:val="24"/>
        </w:rPr>
        <w:t>（签字）</w:t>
      </w:r>
    </w:p>
    <w:p>
      <w:pPr>
        <w:spacing w:line="520" w:lineRule="exact"/>
        <w:rPr>
          <w:rFonts w:hint="eastAsia" w:ascii="仿宋" w:hAnsi="仿宋" w:eastAsia="仿宋"/>
          <w:sz w:val="24"/>
        </w:rPr>
      </w:pPr>
      <w:r>
        <w:rPr>
          <w:rFonts w:hint="eastAsia" w:ascii="仿宋" w:hAnsi="仿宋" w:eastAsia="仿宋" w:cs="方正仿宋_GBK"/>
          <w:sz w:val="24"/>
        </w:rPr>
        <w:t>身份证号码：</w:t>
      </w:r>
      <w:r>
        <w:rPr>
          <w:rFonts w:hint="eastAsia" w:ascii="仿宋" w:hAnsi="仿宋" w:eastAsia="仿宋" w:cs="方正仿宋_GBK"/>
          <w:sz w:val="24"/>
          <w:u w:val="single"/>
        </w:rPr>
        <w:t xml:space="preserve">  </w:t>
      </w:r>
      <w:r>
        <w:rPr>
          <w:rFonts w:hint="eastAsia" w:ascii="仿宋" w:hAnsi="仿宋" w:eastAsia="仿宋"/>
          <w:sz w:val="24"/>
          <w:u w:val="single"/>
        </w:rPr>
        <w:t xml:space="preserve">                </w:t>
      </w:r>
    </w:p>
    <w:p>
      <w:pPr>
        <w:spacing w:line="520" w:lineRule="exact"/>
        <w:ind w:firstLine="480" w:firstLineChars="200"/>
        <w:jc w:val="right"/>
        <w:rPr>
          <w:rFonts w:hint="eastAsia" w:ascii="仿宋" w:hAnsi="仿宋" w:eastAsia="仿宋"/>
          <w:sz w:val="24"/>
        </w:rPr>
      </w:pPr>
    </w:p>
    <w:p>
      <w:pPr>
        <w:spacing w:line="520" w:lineRule="exact"/>
        <w:ind w:firstLine="480" w:firstLineChars="200"/>
        <w:jc w:val="right"/>
        <w:rPr>
          <w:rFonts w:hint="eastAsia" w:ascii="仿宋" w:hAnsi="仿宋" w:eastAsia="仿宋"/>
          <w:sz w:val="24"/>
        </w:rPr>
      </w:pPr>
    </w:p>
    <w:p>
      <w:pPr>
        <w:spacing w:line="520" w:lineRule="exact"/>
        <w:ind w:firstLine="480" w:firstLineChars="200"/>
        <w:jc w:val="center"/>
        <w:rPr>
          <w:rFonts w:hint="eastAsia" w:ascii="仿宋" w:hAnsi="仿宋" w:eastAsia="仿宋" w:cs="方正仿宋_GBK"/>
          <w:sz w:val="24"/>
        </w:rPr>
      </w:pPr>
      <w:r>
        <w:rPr>
          <w:rFonts w:hint="eastAsia" w:ascii="仿宋" w:hAnsi="仿宋" w:eastAsia="仿宋"/>
          <w:sz w:val="24"/>
        </w:rPr>
        <w:t xml:space="preserve">                         </w:t>
      </w:r>
      <w:r>
        <w:rPr>
          <w:rFonts w:hint="eastAsia" w:ascii="仿宋" w:hAnsi="仿宋" w:eastAsia="仿宋" w:cs="方正仿宋_GBK"/>
          <w:sz w:val="24"/>
        </w:rPr>
        <w:t xml:space="preserve">   年   月   日</w:t>
      </w:r>
    </w:p>
    <w:p>
      <w:pPr>
        <w:rPr>
          <w:rFonts w:hint="eastAsia" w:ascii="仿宋" w:hAnsi="仿宋" w:eastAsia="仿宋"/>
          <w:b/>
          <w:bCs/>
          <w:color w:val="000000"/>
          <w:szCs w:val="32"/>
        </w:rPr>
      </w:pPr>
    </w:p>
    <w:p>
      <w:pPr>
        <w:rPr>
          <w:rFonts w:hint="eastAsia" w:ascii="仿宋" w:hAnsi="仿宋" w:eastAsia="仿宋"/>
          <w:b/>
          <w:bCs/>
          <w:color w:val="000000"/>
          <w:szCs w:val="32"/>
        </w:rPr>
      </w:pPr>
    </w:p>
    <w:p>
      <w:pPr>
        <w:pStyle w:val="4"/>
        <w:rPr>
          <w:rFonts w:hint="eastAsia"/>
        </w:rPr>
        <w:sectPr>
          <w:pgSz w:w="11906" w:h="16838"/>
          <w:pgMar w:top="1984" w:right="1446" w:bottom="1644" w:left="1446" w:header="851" w:footer="992" w:gutter="283"/>
          <w:pgNumType w:fmt="numberInDash"/>
          <w:cols w:space="720" w:num="1"/>
          <w:docGrid w:type="lines" w:linePitch="312" w:charSpace="0"/>
        </w:sectPr>
      </w:pPr>
    </w:p>
    <w:p>
      <w:pPr>
        <w:spacing w:line="600" w:lineRule="exact"/>
        <w:jc w:val="left"/>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四、报价函格式</w:t>
      </w:r>
    </w:p>
    <w:p>
      <w:pPr>
        <w:rPr>
          <w:rFonts w:hint="eastAsia" w:ascii="仿宋" w:hAnsi="仿宋" w:eastAsia="仿宋"/>
          <w:color w:val="000000"/>
          <w:sz w:val="28"/>
          <w:szCs w:val="28"/>
        </w:rPr>
      </w:pPr>
    </w:p>
    <w:p>
      <w:pPr>
        <w:widowControl/>
        <w:spacing w:line="500" w:lineRule="exact"/>
        <w:jc w:val="center"/>
        <w:rPr>
          <w:rFonts w:hint="eastAsia" w:ascii="仿宋" w:hAnsi="仿宋" w:eastAsia="仿宋" w:cs="方正小标宋_GBK"/>
          <w:b/>
          <w:sz w:val="44"/>
          <w:szCs w:val="44"/>
        </w:rPr>
      </w:pPr>
      <w:r>
        <w:rPr>
          <w:rFonts w:hint="eastAsia" w:ascii="仿宋" w:hAnsi="仿宋" w:eastAsia="仿宋" w:cs="方正小标宋_GBK"/>
          <w:b/>
          <w:sz w:val="44"/>
          <w:szCs w:val="44"/>
        </w:rPr>
        <w:t>（一）报价函</w:t>
      </w:r>
    </w:p>
    <w:p>
      <w:pPr>
        <w:widowControl/>
        <w:spacing w:line="500" w:lineRule="exact"/>
        <w:jc w:val="center"/>
        <w:rPr>
          <w:rFonts w:hint="eastAsia" w:ascii="仿宋" w:hAnsi="仿宋" w:eastAsia="仿宋"/>
          <w:b/>
          <w:sz w:val="30"/>
        </w:rPr>
      </w:pPr>
    </w:p>
    <w:p>
      <w:pPr>
        <w:keepNext w:val="0"/>
        <w:keepLines w:val="0"/>
        <w:pageBreakBefore w:val="0"/>
        <w:widowControl w:val="0"/>
        <w:kinsoku/>
        <w:wordWrap/>
        <w:overflowPunct/>
        <w:topLinePunct w:val="0"/>
        <w:autoSpaceDE/>
        <w:autoSpaceDN/>
        <w:bidi w:val="0"/>
        <w:adjustRightInd/>
        <w:snapToGrid/>
        <w:spacing w:line="460" w:lineRule="exact"/>
        <w:ind w:firstLine="240" w:firstLineChars="100"/>
        <w:jc w:val="left"/>
        <w:textAlignment w:val="auto"/>
        <w:rPr>
          <w:rFonts w:hint="eastAsia" w:ascii="仿宋" w:hAnsi="仿宋" w:eastAsia="仿宋" w:cs="方正仿宋_GBK"/>
          <w:sz w:val="24"/>
        </w:rPr>
      </w:pPr>
      <w:r>
        <w:rPr>
          <w:rFonts w:hint="eastAsia" w:ascii="仿宋" w:hAnsi="仿宋" w:eastAsia="仿宋" w:cs="方正仿宋_GBK"/>
          <w:sz w:val="24"/>
          <w:u w:val="single"/>
        </w:rPr>
        <w:t xml:space="preserve">                   </w:t>
      </w:r>
      <w:r>
        <w:rPr>
          <w:rFonts w:hint="eastAsia" w:ascii="仿宋" w:hAnsi="仿宋" w:eastAsia="仿宋" w:cs="方正仿宋_GBK"/>
          <w:sz w:val="24"/>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方正仿宋_GBK"/>
          <w:sz w:val="24"/>
        </w:rPr>
      </w:pPr>
      <w:r>
        <w:rPr>
          <w:rFonts w:ascii="仿宋" w:hAnsi="仿宋" w:eastAsia="仿宋"/>
          <w:sz w:val="24"/>
        </w:rPr>
        <w:t>1．</w:t>
      </w:r>
      <w:r>
        <w:rPr>
          <w:rFonts w:hint="eastAsia" w:ascii="仿宋" w:hAnsi="仿宋" w:eastAsia="仿宋" w:cs="方正仿宋_GBK"/>
          <w:sz w:val="24"/>
        </w:rPr>
        <w:t>我方已仔细研究了重庆市农业投资集团有限公司信息系统信创升级改造及推广项目监理服务竞争性比选公告的全部内容，愿意以人民币（大写）</w:t>
      </w:r>
      <w:r>
        <w:rPr>
          <w:rFonts w:hint="eastAsia" w:ascii="仿宋" w:hAnsi="仿宋" w:eastAsia="仿宋" w:cs="方正仿宋_GBK"/>
          <w:sz w:val="24"/>
          <w:u w:val="single"/>
        </w:rPr>
        <w:t xml:space="preserve">    </w:t>
      </w:r>
      <w:r>
        <w:rPr>
          <w:rFonts w:hint="eastAsia" w:ascii="仿宋" w:hAnsi="仿宋" w:eastAsia="仿宋" w:cs="方正仿宋_GBK"/>
          <w:sz w:val="24"/>
        </w:rPr>
        <w:t>（</w:t>
      </w:r>
      <w:r>
        <w:rPr>
          <w:rFonts w:ascii="Calibri" w:hAnsi="Calibri" w:eastAsia="仿宋" w:cs="Calibri"/>
          <w:sz w:val="24"/>
        </w:rPr>
        <w:t>¥</w:t>
      </w:r>
      <w:r>
        <w:rPr>
          <w:rFonts w:hint="eastAsia" w:ascii="仿宋" w:hAnsi="仿宋" w:eastAsia="仿宋" w:cs="方正仿宋_GBK"/>
          <w:sz w:val="24"/>
        </w:rPr>
        <w:t xml:space="preserve">    ）的固定总价为本项目提供监理服务，本固定总价中包含了为完成本工作所需的咨询服务费、企业管理费、税金等一切费用，我司承诺该费用不因任何因素调整。</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方正仿宋_GBK"/>
          <w:sz w:val="24"/>
        </w:rPr>
      </w:pPr>
      <w:r>
        <w:rPr>
          <w:rFonts w:hint="eastAsia" w:ascii="仿宋" w:hAnsi="仿宋" w:eastAsia="仿宋"/>
          <w:sz w:val="24"/>
        </w:rPr>
        <w:t>2．</w:t>
      </w:r>
      <w:r>
        <w:rPr>
          <w:rFonts w:hint="eastAsia" w:ascii="仿宋" w:hAnsi="仿宋" w:eastAsia="仿宋" w:cs="方正仿宋_GBK"/>
          <w:sz w:val="24"/>
        </w:rPr>
        <w:t>我方承诺在竞争性比选有效期内不修改、撤销竞争性比选报价文件。</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方正仿宋_GBK"/>
          <w:sz w:val="24"/>
        </w:rPr>
      </w:pPr>
      <w:r>
        <w:rPr>
          <w:rFonts w:hint="eastAsia" w:ascii="仿宋" w:hAnsi="仿宋" w:eastAsia="仿宋"/>
          <w:sz w:val="24"/>
        </w:rPr>
        <w:t>3．</w:t>
      </w:r>
      <w:r>
        <w:rPr>
          <w:rFonts w:hint="eastAsia" w:ascii="仿宋" w:hAnsi="仿宋" w:eastAsia="仿宋" w:cs="方正仿宋_GBK"/>
          <w:sz w:val="24"/>
        </w:rPr>
        <w:t>如我方中标：</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方正仿宋_GBK"/>
          <w:sz w:val="24"/>
        </w:rPr>
      </w:pPr>
      <w:r>
        <w:rPr>
          <w:rFonts w:hint="eastAsia" w:ascii="仿宋" w:hAnsi="仿宋" w:eastAsia="仿宋"/>
          <w:sz w:val="24"/>
        </w:rPr>
        <w:t>（1）</w:t>
      </w:r>
      <w:r>
        <w:rPr>
          <w:rFonts w:hint="eastAsia" w:ascii="仿宋" w:hAnsi="仿宋" w:eastAsia="仿宋" w:cs="方正仿宋_GBK"/>
          <w:sz w:val="24"/>
        </w:rPr>
        <w:t>我方承诺在收到中标通知书后，在中标通知书规定的期限内与你方签订合同。</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方正仿宋_GBK"/>
          <w:sz w:val="24"/>
        </w:rPr>
      </w:pPr>
      <w:r>
        <w:rPr>
          <w:rFonts w:hint="eastAsia" w:ascii="仿宋" w:hAnsi="仿宋" w:eastAsia="仿宋"/>
          <w:sz w:val="24"/>
        </w:rPr>
        <w:t>（2）</w:t>
      </w:r>
      <w:r>
        <w:rPr>
          <w:rFonts w:hint="eastAsia" w:ascii="仿宋" w:hAnsi="仿宋" w:eastAsia="仿宋" w:cs="方正仿宋_GBK"/>
          <w:sz w:val="24"/>
        </w:rPr>
        <w:t>随同本竞争性比选报价文件递交的报价文件附录属于合同文件的组成部分。</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sz w:val="24"/>
        </w:rPr>
      </w:pPr>
      <w:r>
        <w:rPr>
          <w:rFonts w:hint="eastAsia" w:ascii="仿宋" w:hAnsi="仿宋" w:eastAsia="仿宋"/>
          <w:sz w:val="24"/>
        </w:rPr>
        <w:t>（3）我方承诺在合同约定的期限内完成所有工作。</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sz w:val="24"/>
        </w:rPr>
      </w:pPr>
      <w:r>
        <w:rPr>
          <w:rFonts w:hint="eastAsia" w:ascii="仿宋" w:hAnsi="仿宋" w:eastAsia="仿宋"/>
          <w:sz w:val="24"/>
        </w:rPr>
        <w:t>（</w:t>
      </w:r>
      <w:r>
        <w:rPr>
          <w:rFonts w:hint="default" w:ascii="仿宋" w:hAnsi="仿宋" w:eastAsia="仿宋"/>
          <w:sz w:val="24"/>
          <w:lang w:val="en-US"/>
        </w:rPr>
        <w:t>4</w:t>
      </w:r>
      <w:r>
        <w:rPr>
          <w:rFonts w:hint="eastAsia" w:ascii="仿宋" w:hAnsi="仿宋" w:eastAsia="仿宋"/>
          <w:sz w:val="24"/>
        </w:rPr>
        <w:t>）我方承诺：本项目监理服务费结算金额，按重庆市农业投资集团有限公司信息系统信创升级改造及推广项目中标价与招标控制价的比值作为折减系数，乘以本项目中选监理服务费据实计算，折减后结果即为最终结算监理服务费。</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方正仿宋_GBK"/>
          <w:sz w:val="24"/>
        </w:rPr>
      </w:pPr>
      <w:r>
        <w:rPr>
          <w:rFonts w:hint="eastAsia" w:ascii="仿宋" w:hAnsi="仿宋" w:eastAsia="仿宋"/>
          <w:sz w:val="24"/>
        </w:rPr>
        <w:t>4．</w:t>
      </w:r>
      <w:r>
        <w:rPr>
          <w:rFonts w:hint="eastAsia" w:ascii="仿宋" w:hAnsi="仿宋" w:eastAsia="仿宋" w:cs="方正仿宋_GBK"/>
          <w:sz w:val="24"/>
        </w:rPr>
        <w:t>我方在此声明，所递交的询价文件及有关资料内容完整、真实和准确。</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方正仿宋_GBK"/>
          <w:sz w:val="24"/>
        </w:rPr>
      </w:pPr>
      <w:r>
        <w:rPr>
          <w:rFonts w:hint="eastAsia" w:ascii="仿宋" w:hAnsi="仿宋" w:eastAsia="仿宋"/>
          <w:sz w:val="24"/>
        </w:rPr>
        <w:t>5．</w:t>
      </w:r>
      <w:r>
        <w:rPr>
          <w:rFonts w:hint="eastAsia" w:ascii="仿宋" w:hAnsi="仿宋" w:eastAsia="仿宋" w:cs="方正仿宋_GBK"/>
          <w:sz w:val="24"/>
          <w:u w:val="single"/>
        </w:rPr>
        <w:t xml:space="preserve">   /   </w:t>
      </w:r>
      <w:r>
        <w:rPr>
          <w:rFonts w:hint="eastAsia" w:ascii="仿宋" w:hAnsi="仿宋" w:eastAsia="仿宋" w:cs="方正仿宋_GBK"/>
          <w:sz w:val="24"/>
        </w:rPr>
        <w:t>（其他补充说明）。</w:t>
      </w:r>
    </w:p>
    <w:p>
      <w:pPr>
        <w:keepNext w:val="0"/>
        <w:keepLines w:val="0"/>
        <w:pageBreakBefore w:val="0"/>
        <w:widowControl w:val="0"/>
        <w:kinsoku/>
        <w:wordWrap/>
        <w:overflowPunct/>
        <w:topLinePunct w:val="0"/>
        <w:autoSpaceDE/>
        <w:autoSpaceDN/>
        <w:bidi w:val="0"/>
        <w:adjustRightInd/>
        <w:snapToGrid/>
        <w:spacing w:line="460" w:lineRule="exact"/>
        <w:ind w:firstLine="3828" w:firstLineChars="1595"/>
        <w:jc w:val="left"/>
        <w:textAlignment w:val="auto"/>
        <w:rPr>
          <w:rFonts w:hint="eastAsia" w:ascii="仿宋" w:hAnsi="仿宋" w:eastAsia="仿宋" w:cs="方正仿宋_GBK"/>
          <w:sz w:val="24"/>
        </w:rPr>
      </w:pPr>
      <w:r>
        <w:rPr>
          <w:rFonts w:hint="eastAsia" w:ascii="仿宋" w:hAnsi="仿宋" w:eastAsia="仿宋" w:cs="方正仿宋_GBK"/>
          <w:sz w:val="24"/>
        </w:rPr>
        <w:t>竞争性比选报价人：（盖单位章）</w:t>
      </w:r>
    </w:p>
    <w:p>
      <w:pPr>
        <w:keepNext w:val="0"/>
        <w:keepLines w:val="0"/>
        <w:pageBreakBefore w:val="0"/>
        <w:widowControl w:val="0"/>
        <w:kinsoku/>
        <w:wordWrap/>
        <w:overflowPunct/>
        <w:topLinePunct w:val="0"/>
        <w:autoSpaceDE/>
        <w:autoSpaceDN/>
        <w:bidi w:val="0"/>
        <w:adjustRightInd/>
        <w:snapToGrid/>
        <w:spacing w:line="460" w:lineRule="exact"/>
        <w:ind w:firstLine="3828" w:firstLineChars="1595"/>
        <w:jc w:val="left"/>
        <w:textAlignment w:val="auto"/>
        <w:rPr>
          <w:rFonts w:hint="eastAsia" w:ascii="仿宋" w:hAnsi="仿宋" w:eastAsia="仿宋" w:cs="方正仿宋_GBK"/>
          <w:sz w:val="24"/>
        </w:rPr>
      </w:pPr>
      <w:r>
        <w:rPr>
          <w:rFonts w:hint="eastAsia" w:ascii="仿宋" w:hAnsi="仿宋" w:eastAsia="仿宋" w:cs="方正仿宋_GBK"/>
          <w:sz w:val="24"/>
        </w:rPr>
        <w:t>法定代表人或其委托代理人：（签字）</w:t>
      </w:r>
    </w:p>
    <w:p>
      <w:pPr>
        <w:keepNext w:val="0"/>
        <w:keepLines w:val="0"/>
        <w:pageBreakBefore w:val="0"/>
        <w:widowControl w:val="0"/>
        <w:kinsoku/>
        <w:wordWrap/>
        <w:overflowPunct/>
        <w:topLinePunct w:val="0"/>
        <w:autoSpaceDE/>
        <w:autoSpaceDN/>
        <w:bidi w:val="0"/>
        <w:adjustRightInd/>
        <w:snapToGrid/>
        <w:spacing w:line="460" w:lineRule="exact"/>
        <w:ind w:firstLine="3828" w:firstLineChars="1595"/>
        <w:jc w:val="left"/>
        <w:textAlignment w:val="auto"/>
        <w:rPr>
          <w:rFonts w:hint="eastAsia" w:ascii="仿宋" w:hAnsi="仿宋" w:eastAsia="仿宋" w:cs="方正仿宋_GBK"/>
          <w:sz w:val="24"/>
        </w:rPr>
      </w:pPr>
      <w:r>
        <w:rPr>
          <w:rFonts w:hint="eastAsia" w:ascii="仿宋" w:hAnsi="仿宋" w:eastAsia="仿宋" w:cs="方正仿宋_GBK"/>
          <w:sz w:val="24"/>
        </w:rPr>
        <w:t>联系人：</w:t>
      </w:r>
    </w:p>
    <w:p>
      <w:pPr>
        <w:keepNext w:val="0"/>
        <w:keepLines w:val="0"/>
        <w:pageBreakBefore w:val="0"/>
        <w:widowControl w:val="0"/>
        <w:kinsoku/>
        <w:wordWrap/>
        <w:overflowPunct/>
        <w:topLinePunct w:val="0"/>
        <w:autoSpaceDE/>
        <w:autoSpaceDN/>
        <w:bidi w:val="0"/>
        <w:adjustRightInd/>
        <w:snapToGrid/>
        <w:spacing w:line="460" w:lineRule="exact"/>
        <w:ind w:firstLine="3828" w:firstLineChars="1595"/>
        <w:jc w:val="left"/>
        <w:textAlignment w:val="auto"/>
        <w:rPr>
          <w:rFonts w:hint="eastAsia" w:ascii="仿宋" w:hAnsi="仿宋" w:eastAsia="仿宋" w:cs="方正仿宋_GBK"/>
          <w:sz w:val="24"/>
        </w:rPr>
      </w:pPr>
      <w:r>
        <w:rPr>
          <w:rFonts w:hint="eastAsia" w:ascii="仿宋" w:hAnsi="仿宋" w:eastAsia="仿宋" w:cs="方正仿宋_GBK"/>
          <w:sz w:val="24"/>
        </w:rPr>
        <w:t>电话：</w:t>
      </w:r>
    </w:p>
    <w:p>
      <w:pPr>
        <w:keepNext w:val="0"/>
        <w:keepLines w:val="0"/>
        <w:pageBreakBefore w:val="0"/>
        <w:widowControl w:val="0"/>
        <w:kinsoku/>
        <w:wordWrap/>
        <w:overflowPunct/>
        <w:topLinePunct w:val="0"/>
        <w:autoSpaceDE/>
        <w:autoSpaceDN/>
        <w:bidi w:val="0"/>
        <w:adjustRightInd/>
        <w:snapToGrid/>
        <w:spacing w:line="460" w:lineRule="exact"/>
        <w:ind w:firstLine="3828" w:firstLineChars="1595"/>
        <w:jc w:val="left"/>
        <w:textAlignment w:val="auto"/>
        <w:rPr>
          <w:rFonts w:hint="eastAsia" w:ascii="仿宋" w:hAnsi="仿宋" w:eastAsia="仿宋" w:cs="方正仿宋_GBK"/>
          <w:sz w:val="24"/>
        </w:rPr>
      </w:pPr>
      <w:r>
        <w:rPr>
          <w:rFonts w:hint="eastAsia" w:ascii="仿宋" w:hAnsi="仿宋" w:eastAsia="仿宋" w:cs="方正仿宋_GBK"/>
          <w:sz w:val="24"/>
        </w:rPr>
        <w:t>传真：</w:t>
      </w:r>
    </w:p>
    <w:p>
      <w:pPr>
        <w:keepNext w:val="0"/>
        <w:keepLines w:val="0"/>
        <w:pageBreakBefore w:val="0"/>
        <w:widowControl w:val="0"/>
        <w:kinsoku/>
        <w:wordWrap/>
        <w:overflowPunct/>
        <w:topLinePunct w:val="0"/>
        <w:autoSpaceDE/>
        <w:autoSpaceDN/>
        <w:bidi w:val="0"/>
        <w:adjustRightInd/>
        <w:snapToGrid/>
        <w:spacing w:line="460" w:lineRule="exact"/>
        <w:ind w:firstLine="3828" w:firstLineChars="1595"/>
        <w:jc w:val="left"/>
        <w:textAlignment w:val="auto"/>
        <w:rPr>
          <w:rFonts w:hint="eastAsia" w:ascii="仿宋" w:hAnsi="仿宋" w:eastAsia="仿宋" w:cs="方正仿宋_GBK"/>
          <w:sz w:val="24"/>
        </w:rPr>
      </w:pPr>
      <w:r>
        <w:rPr>
          <w:rFonts w:hint="eastAsia" w:ascii="仿宋" w:hAnsi="仿宋" w:eastAsia="仿宋" w:cs="方正仿宋_GBK"/>
          <w:sz w:val="24"/>
        </w:rPr>
        <w:t>邮政编码：</w:t>
      </w:r>
    </w:p>
    <w:p>
      <w:pPr>
        <w:keepNext w:val="0"/>
        <w:keepLines w:val="0"/>
        <w:pageBreakBefore w:val="0"/>
        <w:widowControl w:val="0"/>
        <w:kinsoku/>
        <w:wordWrap/>
        <w:overflowPunct/>
        <w:topLinePunct w:val="0"/>
        <w:autoSpaceDE/>
        <w:autoSpaceDN/>
        <w:bidi w:val="0"/>
        <w:adjustRightInd/>
        <w:snapToGrid/>
        <w:spacing w:line="460" w:lineRule="exact"/>
        <w:ind w:firstLine="5880" w:firstLineChars="2450"/>
        <w:jc w:val="left"/>
        <w:textAlignment w:val="auto"/>
        <w:rPr>
          <w:rFonts w:hint="eastAsia" w:ascii="仿宋" w:hAnsi="仿宋" w:eastAsia="仿宋" w:cs="方正仿宋_GBK"/>
          <w:sz w:val="24"/>
        </w:rPr>
      </w:pPr>
      <w:r>
        <w:rPr>
          <w:rFonts w:hint="eastAsia" w:ascii="仿宋" w:hAnsi="仿宋" w:eastAsia="仿宋" w:cs="方正仿宋_GBK"/>
          <w:sz w:val="24"/>
        </w:rPr>
        <w:t>年   月   日</w:t>
      </w:r>
    </w:p>
    <w:p>
      <w:pPr>
        <w:jc w:val="left"/>
        <w:rPr>
          <w:rFonts w:hint="eastAsia" w:ascii="仿宋" w:hAnsi="仿宋" w:eastAsia="仿宋"/>
          <w:color w:val="000000"/>
          <w:sz w:val="28"/>
          <w:szCs w:val="28"/>
        </w:rPr>
      </w:pPr>
      <w:r>
        <w:rPr>
          <w:rFonts w:hint="eastAsia" w:ascii="仿宋" w:hAnsi="仿宋" w:eastAsia="仿宋"/>
          <w:color w:val="000000"/>
          <w:sz w:val="28"/>
          <w:szCs w:val="28"/>
        </w:rPr>
        <w:br w:type="page"/>
      </w:r>
    </w:p>
    <w:p>
      <w:pPr>
        <w:spacing w:line="600" w:lineRule="exact"/>
        <w:jc w:val="left"/>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五、投标人资格要求证明文件（加盖公章）；</w:t>
      </w:r>
    </w:p>
    <w:p>
      <w:pPr>
        <w:spacing w:line="600" w:lineRule="exact"/>
        <w:jc w:val="left"/>
        <w:rPr>
          <w:rFonts w:hint="eastAsia" w:ascii="仿宋" w:hAnsi="仿宋" w:eastAsia="仿宋"/>
          <w:szCs w:val="32"/>
        </w:rPr>
        <w:sectPr>
          <w:pgSz w:w="11906" w:h="16838"/>
          <w:pgMar w:top="1984" w:right="1446" w:bottom="1644" w:left="1446" w:header="851" w:footer="992" w:gutter="283"/>
          <w:pgNumType w:fmt="numberInDash"/>
          <w:cols w:space="720" w:num="1"/>
          <w:docGrid w:type="lines" w:linePitch="312" w:charSpace="0"/>
        </w:sectPr>
      </w:pPr>
    </w:p>
    <w:p>
      <w:pPr>
        <w:spacing w:line="600" w:lineRule="exact"/>
        <w:jc w:val="left"/>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六、人员资质（提供人员资质资格证书复印件、近</w:t>
      </w:r>
      <w:r>
        <w:rPr>
          <w:rFonts w:hint="default" w:ascii="Times New Roman" w:hAnsi="Times New Roman" w:eastAsia="方正仿宋_GBK" w:cs="Times New Roman"/>
          <w:szCs w:val="32"/>
        </w:rPr>
        <w:t>3</w:t>
      </w:r>
      <w:r>
        <w:rPr>
          <w:rFonts w:hint="eastAsia" w:ascii="方正仿宋_GBK" w:hAnsi="方正仿宋_GBK" w:eastAsia="方正仿宋_GBK" w:cs="方正仿宋_GBK"/>
          <w:szCs w:val="32"/>
        </w:rPr>
        <w:t>个月社会保险缴纳记录，上述所有资料均须加盖单位公章）；</w:t>
      </w:r>
    </w:p>
    <w:p>
      <w:pPr>
        <w:spacing w:line="600" w:lineRule="exact"/>
        <w:jc w:val="left"/>
        <w:rPr>
          <w:rFonts w:hint="eastAsia" w:ascii="仿宋" w:hAnsi="仿宋" w:eastAsia="仿宋"/>
          <w:szCs w:val="32"/>
        </w:rPr>
        <w:sectPr>
          <w:pgSz w:w="11906" w:h="16838"/>
          <w:pgMar w:top="1984" w:right="1446" w:bottom="1644" w:left="1446" w:header="851" w:footer="992" w:gutter="283"/>
          <w:pgNumType w:fmt="numberInDash"/>
          <w:cols w:space="720" w:num="1"/>
          <w:docGrid w:type="lines" w:linePitch="312" w:charSpace="0"/>
        </w:sectPr>
      </w:pPr>
    </w:p>
    <w:p>
      <w:pPr>
        <w:spacing w:line="600" w:lineRule="exact"/>
        <w:jc w:val="left"/>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七、业绩要求证明（提供合同关键页复印件</w:t>
      </w:r>
      <w:r>
        <w:rPr>
          <w:rFonts w:hint="eastAsia" w:ascii="方正仿宋_GBK" w:hAnsi="方正仿宋_GBK" w:eastAsia="方正仿宋_GBK" w:cs="方正仿宋_GBK"/>
          <w:szCs w:val="32"/>
          <w:lang w:val="en-US" w:eastAsia="zh-CN"/>
        </w:rPr>
        <w:t>和</w:t>
      </w:r>
      <w:r>
        <w:rPr>
          <w:rFonts w:hint="eastAsia" w:ascii="方正仿宋_GBK" w:hAnsi="方正仿宋_GBK" w:eastAsia="方正仿宋_GBK" w:cs="方正仿宋_GBK"/>
          <w:szCs w:val="32"/>
        </w:rPr>
        <w:t>中标（成交）通知书关键页复印件）；</w:t>
      </w:r>
    </w:p>
    <w:p>
      <w:pPr>
        <w:spacing w:line="600" w:lineRule="exact"/>
        <w:jc w:val="left"/>
        <w:rPr>
          <w:rFonts w:hint="eastAsia" w:ascii="仿宋" w:hAnsi="仿宋" w:eastAsia="仿宋"/>
          <w:szCs w:val="32"/>
        </w:rPr>
        <w:sectPr>
          <w:pgSz w:w="11906" w:h="16838"/>
          <w:pgMar w:top="1984" w:right="1446" w:bottom="1644" w:left="1446" w:header="851" w:footer="992" w:gutter="283"/>
          <w:pgNumType w:fmt="numberInDash"/>
          <w:cols w:space="720" w:num="1"/>
          <w:docGrid w:type="lines" w:linePitch="312" w:charSpace="0"/>
        </w:sectPr>
      </w:pPr>
    </w:p>
    <w:p>
      <w:pPr>
        <w:spacing w:line="600" w:lineRule="exact"/>
        <w:jc w:val="left"/>
        <w:rPr>
          <w:rFonts w:hint="eastAsia" w:ascii="仿宋" w:hAnsi="仿宋" w:eastAsia="方正仿宋_GBK"/>
          <w:szCs w:val="32"/>
          <w:highlight w:val="none"/>
          <w:lang w:eastAsia="zh-CN"/>
        </w:rPr>
      </w:pPr>
      <w:r>
        <w:rPr>
          <w:rFonts w:hint="eastAsia" w:ascii="仿宋" w:hAnsi="仿宋" w:eastAsia="仿宋"/>
          <w:szCs w:val="32"/>
          <w:highlight w:val="none"/>
        </w:rPr>
        <w:t>八、</w:t>
      </w:r>
      <w:r>
        <w:rPr>
          <w:rFonts w:hint="eastAsia" w:ascii="方正仿宋_GBK" w:hAnsi="方正仿宋_GBK" w:eastAsia="方正仿宋_GBK" w:cs="方正仿宋_GBK"/>
          <w:szCs w:val="32"/>
          <w:highlight w:val="none"/>
        </w:rPr>
        <w:t>投标人应对照本公告</w:t>
      </w:r>
      <w:r>
        <w:rPr>
          <w:rFonts w:hint="eastAsia" w:ascii="方正仿宋_GBK" w:hAnsi="方正仿宋_GBK" w:cs="方正仿宋_GBK"/>
          <w:szCs w:val="32"/>
          <w:highlight w:val="none"/>
          <w:lang w:eastAsia="zh-CN"/>
        </w:rPr>
        <w:t>“</w:t>
      </w:r>
      <w:r>
        <w:rPr>
          <w:rFonts w:hint="eastAsia" w:ascii="方正仿宋_GBK" w:hAnsi="方正仿宋_GBK" w:eastAsia="方正仿宋_GBK" w:cs="方正仿宋_GBK"/>
          <w:szCs w:val="32"/>
          <w:highlight w:val="none"/>
        </w:rPr>
        <w:t>六、采购评分办法</w:t>
      </w:r>
      <w:r>
        <w:rPr>
          <w:rFonts w:hint="eastAsia" w:ascii="方正仿宋_GBK" w:hAnsi="方正仿宋_GBK" w:cs="方正仿宋_GBK"/>
          <w:szCs w:val="32"/>
          <w:highlight w:val="none"/>
          <w:lang w:eastAsia="zh-CN"/>
        </w:rPr>
        <w:t>”</w:t>
      </w:r>
      <w:r>
        <w:rPr>
          <w:rFonts w:hint="eastAsia" w:ascii="方正仿宋_GBK" w:hAnsi="方正仿宋_GBK" w:eastAsia="方正仿宋_GBK" w:cs="方正仿宋_GBK"/>
          <w:szCs w:val="32"/>
          <w:highlight w:val="none"/>
        </w:rPr>
        <w:t>所列各评分项，逐项编制并提交与之对应的服务能力证明材料及监理</w:t>
      </w:r>
      <w:r>
        <w:rPr>
          <w:rFonts w:hint="eastAsia" w:ascii="方正仿宋_GBK" w:hAnsi="方正仿宋_GBK" w:cs="方正仿宋_GBK"/>
          <w:szCs w:val="32"/>
          <w:highlight w:val="none"/>
          <w:lang w:val="en-US" w:eastAsia="zh-CN"/>
        </w:rPr>
        <w:t>服务</w:t>
      </w:r>
      <w:r>
        <w:rPr>
          <w:rFonts w:hint="eastAsia" w:ascii="方正仿宋_GBK" w:hAnsi="方正仿宋_GBK" w:eastAsia="方正仿宋_GBK" w:cs="方正仿宋_GBK"/>
          <w:szCs w:val="32"/>
          <w:highlight w:val="none"/>
        </w:rPr>
        <w:t>方案（格式自拟，加盖投标人公章）</w:t>
      </w:r>
      <w:r>
        <w:rPr>
          <w:rFonts w:hint="eastAsia" w:ascii="方正仿宋_GBK" w:hAnsi="方正仿宋_GBK" w:cs="方正仿宋_GBK"/>
          <w:szCs w:val="32"/>
          <w:highlight w:val="none"/>
          <w:lang w:eastAsia="zh-CN"/>
        </w:rPr>
        <w:t>；</w:t>
      </w:r>
    </w:p>
    <w:p>
      <w:pPr>
        <w:rPr>
          <w:rFonts w:hint="eastAsia" w:ascii="仿宋" w:hAnsi="仿宋" w:eastAsia="仿宋"/>
          <w:b/>
          <w:bCs/>
          <w:color w:val="000000"/>
          <w:szCs w:val="32"/>
        </w:rPr>
        <w:sectPr>
          <w:pgSz w:w="11906" w:h="16838"/>
          <w:pgMar w:top="1984" w:right="1446" w:bottom="1644" w:left="1446" w:header="851" w:footer="992" w:gutter="283"/>
          <w:pgNumType w:fmt="numberInDash"/>
          <w:cols w:space="720" w:num="1"/>
          <w:docGrid w:type="lines" w:linePitch="312" w:charSpace="0"/>
        </w:sectPr>
      </w:pPr>
    </w:p>
    <w:p>
      <w:pPr>
        <w:spacing w:line="600" w:lineRule="exact"/>
        <w:jc w:val="left"/>
        <w:rPr>
          <w:rFonts w:hint="default" w:ascii="仿宋" w:hAnsi="仿宋" w:eastAsia="仿宋"/>
          <w:szCs w:val="32"/>
          <w:highlight w:val="none"/>
          <w:lang w:val="en-US" w:eastAsia="zh-CN"/>
        </w:rPr>
      </w:pPr>
      <w:r>
        <w:rPr>
          <w:rFonts w:hint="eastAsia" w:ascii="仿宋" w:hAnsi="仿宋" w:eastAsia="仿宋"/>
          <w:szCs w:val="32"/>
          <w:highlight w:val="none"/>
          <w:lang w:val="en-US" w:eastAsia="zh-CN"/>
        </w:rPr>
        <w:t>九、对“二、服务内容及要求”的响应表</w:t>
      </w:r>
      <w:r>
        <w:rPr>
          <w:rFonts w:hint="eastAsia" w:ascii="方正仿宋_GBK" w:hAnsi="方正仿宋_GBK" w:eastAsia="方正仿宋_GBK" w:cs="方正仿宋_GBK"/>
          <w:szCs w:val="32"/>
          <w:highlight w:val="none"/>
        </w:rPr>
        <w:t>（加盖公章）</w:t>
      </w:r>
    </w:p>
    <w:tbl>
      <w:tblPr>
        <w:tblStyle w:val="16"/>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3004"/>
        <w:gridCol w:w="3117"/>
        <w:gridCol w:w="2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r>
              <w:rPr>
                <w:rFonts w:hint="eastAsia" w:ascii="宋体" w:hAnsi="宋体"/>
                <w:color w:val="auto"/>
                <w:szCs w:val="21"/>
                <w:highlight w:val="none"/>
              </w:rPr>
              <w:t>序号</w:t>
            </w: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r>
              <w:rPr>
                <w:rFonts w:hint="eastAsia" w:ascii="宋体" w:hAnsi="宋体"/>
                <w:color w:val="auto"/>
                <w:szCs w:val="21"/>
                <w:highlight w:val="none"/>
                <w:lang w:val="en-US" w:eastAsia="zh-CN"/>
              </w:rPr>
              <w:t>比选文件服务内容及</w:t>
            </w:r>
            <w:r>
              <w:rPr>
                <w:rFonts w:hint="eastAsia" w:ascii="宋体" w:hAnsi="宋体"/>
                <w:color w:val="auto"/>
                <w:szCs w:val="21"/>
                <w:highlight w:val="none"/>
              </w:rPr>
              <w:t>要求</w:t>
            </w: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r>
              <w:rPr>
                <w:rFonts w:hint="eastAsia" w:ascii="宋体" w:hAnsi="宋体"/>
                <w:color w:val="auto"/>
                <w:szCs w:val="21"/>
                <w:highlight w:val="none"/>
              </w:rPr>
              <w:t>投标应答</w:t>
            </w: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r>
              <w:rPr>
                <w:rFonts w:hint="eastAsia" w:ascii="宋体" w:hAnsi="宋体"/>
                <w:color w:val="auto"/>
                <w:szCs w:val="21"/>
                <w:highlight w:val="none"/>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6"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004"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3117" w:type="dxa"/>
            <w:vAlign w:val="center"/>
          </w:tcPr>
          <w:p>
            <w:pPr>
              <w:tabs>
                <w:tab w:val="left" w:pos="6300"/>
              </w:tabs>
              <w:snapToGrid w:val="0"/>
              <w:spacing w:line="500" w:lineRule="exact"/>
              <w:jc w:val="center"/>
              <w:outlineLvl w:val="0"/>
              <w:rPr>
                <w:rFonts w:ascii="宋体" w:hAnsi="宋体"/>
                <w:color w:val="auto"/>
                <w:szCs w:val="21"/>
                <w:highlight w:val="none"/>
              </w:rPr>
            </w:pPr>
          </w:p>
        </w:tc>
        <w:tc>
          <w:tcPr>
            <w:tcW w:w="2334" w:type="dxa"/>
            <w:vAlign w:val="center"/>
          </w:tcPr>
          <w:p>
            <w:pPr>
              <w:tabs>
                <w:tab w:val="left" w:pos="6300"/>
              </w:tabs>
              <w:snapToGrid w:val="0"/>
              <w:spacing w:line="500" w:lineRule="exact"/>
              <w:jc w:val="center"/>
              <w:outlineLvl w:val="0"/>
              <w:rPr>
                <w:rFonts w:ascii="宋体" w:hAnsi="宋体"/>
                <w:color w:val="auto"/>
                <w:szCs w:val="21"/>
                <w:highlight w:val="none"/>
              </w:rPr>
            </w:pPr>
          </w:p>
        </w:tc>
      </w:tr>
    </w:tbl>
    <w:p>
      <w:pPr>
        <w:spacing w:line="500" w:lineRule="exact"/>
        <w:ind w:firstLine="600" w:firstLineChars="250"/>
        <w:rPr>
          <w:rFonts w:hint="eastAsia" w:ascii="宋体" w:hAnsi="宋体" w:eastAsia="方正仿宋_GBK"/>
          <w:color w:val="auto"/>
          <w:sz w:val="24"/>
          <w:szCs w:val="28"/>
          <w:highlight w:val="none"/>
          <w:lang w:eastAsia="zh-CN"/>
        </w:rPr>
      </w:pPr>
      <w:r>
        <w:rPr>
          <w:rFonts w:hint="eastAsia" w:ascii="宋体" w:hAnsi="宋体"/>
          <w:color w:val="auto"/>
          <w:sz w:val="24"/>
          <w:szCs w:val="28"/>
          <w:highlight w:val="none"/>
          <w:lang w:val="en-US" w:eastAsia="zh-CN"/>
        </w:rPr>
        <w:t>比选</w:t>
      </w:r>
      <w:r>
        <w:rPr>
          <w:rFonts w:hint="eastAsia" w:ascii="宋体" w:hAnsi="宋体"/>
          <w:color w:val="auto"/>
          <w:sz w:val="24"/>
          <w:szCs w:val="28"/>
          <w:highlight w:val="none"/>
        </w:rPr>
        <w:t>人</w:t>
      </w:r>
      <w:r>
        <w:rPr>
          <w:rFonts w:hint="eastAsia" w:ascii="宋体" w:hAnsi="宋体"/>
          <w:color w:val="auto"/>
          <w:sz w:val="24"/>
          <w:szCs w:val="28"/>
          <w:highlight w:val="none"/>
          <w:lang w:eastAsia="zh-CN"/>
        </w:rPr>
        <w:t>（</w:t>
      </w:r>
      <w:r>
        <w:rPr>
          <w:rFonts w:hint="eastAsia" w:ascii="宋体" w:hAnsi="宋体"/>
          <w:color w:val="auto"/>
          <w:sz w:val="24"/>
          <w:szCs w:val="28"/>
          <w:highlight w:val="none"/>
        </w:rPr>
        <w:t>法定代表人（或法定代表人授权代表）</w:t>
      </w:r>
      <w:r>
        <w:rPr>
          <w:rFonts w:hint="eastAsia" w:ascii="宋体" w:hAnsi="宋体"/>
          <w:color w:val="auto"/>
          <w:sz w:val="24"/>
          <w:szCs w:val="28"/>
          <w:highlight w:val="none"/>
          <w:lang w:eastAsia="zh-CN"/>
        </w:rPr>
        <w:t>）：</w:t>
      </w:r>
    </w:p>
    <w:p>
      <w:pPr>
        <w:spacing w:line="500" w:lineRule="exact"/>
        <w:ind w:firstLine="720" w:firstLineChars="300"/>
        <w:rPr>
          <w:rFonts w:ascii="宋体" w:hAnsi="宋体"/>
          <w:color w:val="auto"/>
          <w:sz w:val="24"/>
          <w:szCs w:val="28"/>
          <w:highlight w:val="none"/>
        </w:rPr>
      </w:pP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比选</w:t>
      </w:r>
      <w:r>
        <w:rPr>
          <w:rFonts w:hint="eastAsia" w:ascii="宋体" w:hAnsi="宋体"/>
          <w:color w:val="auto"/>
          <w:sz w:val="24"/>
          <w:szCs w:val="28"/>
          <w:highlight w:val="none"/>
        </w:rPr>
        <w:t>人公章）     （签署或盖章）</w:t>
      </w:r>
    </w:p>
    <w:p>
      <w:pPr>
        <w:tabs>
          <w:tab w:val="left" w:pos="6300"/>
        </w:tabs>
        <w:snapToGrid w:val="0"/>
        <w:spacing w:line="500" w:lineRule="exact"/>
        <w:ind w:firstLine="570"/>
        <w:rPr>
          <w:rFonts w:ascii="宋体" w:hAnsi="宋体"/>
          <w:color w:val="auto"/>
          <w:sz w:val="24"/>
          <w:highlight w:val="none"/>
        </w:rPr>
      </w:pPr>
      <w:r>
        <w:rPr>
          <w:rFonts w:hint="eastAsia" w:ascii="宋体" w:hAnsi="宋体"/>
          <w:color w:val="auto"/>
          <w:sz w:val="24"/>
          <w:szCs w:val="28"/>
          <w:highlight w:val="none"/>
        </w:rPr>
        <w:t xml:space="preserve">                                            年     月     日</w:t>
      </w:r>
    </w:p>
    <w:p>
      <w:pPr>
        <w:tabs>
          <w:tab w:val="left" w:pos="6300"/>
        </w:tabs>
        <w:snapToGrid w:val="0"/>
        <w:spacing w:line="500" w:lineRule="exact"/>
        <w:ind w:firstLine="570"/>
        <w:rPr>
          <w:rFonts w:ascii="宋体" w:hAnsi="宋体"/>
          <w:color w:val="auto"/>
          <w:sz w:val="24"/>
          <w:highlight w:val="none"/>
        </w:rPr>
      </w:pPr>
      <w:r>
        <w:rPr>
          <w:rFonts w:hint="eastAsia" w:ascii="宋体" w:hAnsi="宋体"/>
          <w:color w:val="auto"/>
          <w:sz w:val="24"/>
          <w:highlight w:val="none"/>
        </w:rPr>
        <w:t>注：</w:t>
      </w:r>
    </w:p>
    <w:p>
      <w:pPr>
        <w:tabs>
          <w:tab w:val="left" w:pos="6300"/>
        </w:tabs>
        <w:snapToGrid w:val="0"/>
        <w:spacing w:line="500" w:lineRule="exact"/>
        <w:ind w:firstLine="570"/>
        <w:rPr>
          <w:rFonts w:ascii="宋体" w:hAnsi="宋体"/>
          <w:color w:val="auto"/>
          <w:sz w:val="24"/>
          <w:szCs w:val="24"/>
          <w:highlight w:val="none"/>
        </w:rPr>
      </w:pPr>
      <w:r>
        <w:rPr>
          <w:rFonts w:hint="eastAsia" w:ascii="宋体" w:hAnsi="宋体"/>
          <w:color w:val="auto"/>
          <w:sz w:val="24"/>
          <w:szCs w:val="24"/>
          <w:highlight w:val="none"/>
        </w:rPr>
        <w:t>1.本表即为对本项目“二、服务内容及要求”中所列条款进行比较和响应；</w:t>
      </w:r>
    </w:p>
    <w:p>
      <w:pPr>
        <w:tabs>
          <w:tab w:val="left" w:pos="6300"/>
        </w:tabs>
        <w:snapToGrid w:val="0"/>
        <w:spacing w:line="500" w:lineRule="exact"/>
        <w:ind w:firstLine="570"/>
        <w:rPr>
          <w:rFonts w:ascii="宋体" w:hAnsi="宋体"/>
          <w:color w:val="auto"/>
          <w:sz w:val="24"/>
          <w:szCs w:val="24"/>
          <w:highlight w:val="none"/>
        </w:rPr>
      </w:pPr>
      <w:r>
        <w:rPr>
          <w:rFonts w:hint="eastAsia" w:ascii="宋体" w:hAnsi="宋体"/>
          <w:color w:val="auto"/>
          <w:sz w:val="24"/>
          <w:szCs w:val="24"/>
          <w:highlight w:val="none"/>
        </w:rPr>
        <w:t>2.本表可扩展；</w:t>
      </w:r>
    </w:p>
    <w:p>
      <w:pPr>
        <w:tabs>
          <w:tab w:val="left" w:pos="6300"/>
        </w:tabs>
        <w:snapToGrid w:val="0"/>
        <w:spacing w:line="500" w:lineRule="exact"/>
        <w:ind w:firstLine="570"/>
        <w:rPr>
          <w:rFonts w:hint="eastAsia" w:ascii="宋体" w:hAnsi="宋体"/>
          <w:color w:val="auto"/>
          <w:sz w:val="24"/>
          <w:szCs w:val="24"/>
          <w:highlight w:val="none"/>
        </w:rPr>
      </w:pPr>
      <w:r>
        <w:rPr>
          <w:rFonts w:hint="eastAsia" w:ascii="宋体" w:hAnsi="宋体"/>
          <w:color w:val="auto"/>
          <w:sz w:val="24"/>
          <w:szCs w:val="24"/>
          <w:highlight w:val="none"/>
        </w:rPr>
        <w:t>3.可附相关技术（质量）支撑材料</w:t>
      </w:r>
      <w:r>
        <w:rPr>
          <w:rFonts w:hint="eastAsia" w:ascii="宋体" w:hAnsi="宋体"/>
          <w:color w:val="auto"/>
          <w:sz w:val="24"/>
          <w:szCs w:val="24"/>
          <w:highlight w:val="none"/>
          <w:lang w:eastAsia="zh-CN"/>
        </w:rPr>
        <w:t>；</w:t>
      </w:r>
      <w:r>
        <w:rPr>
          <w:rFonts w:hint="eastAsia" w:ascii="宋体" w:hAnsi="宋体"/>
          <w:color w:val="auto"/>
          <w:sz w:val="24"/>
          <w:szCs w:val="24"/>
          <w:highlight w:val="none"/>
        </w:rPr>
        <w:t>（格式自定）</w:t>
      </w:r>
    </w:p>
    <w:p>
      <w:pPr>
        <w:tabs>
          <w:tab w:val="left" w:pos="6300"/>
        </w:tabs>
        <w:snapToGrid w:val="0"/>
        <w:spacing w:line="500" w:lineRule="exact"/>
        <w:ind w:firstLine="570"/>
        <w:rPr>
          <w:rFonts w:hint="default" w:ascii="宋体" w:hAnsi="宋体"/>
          <w:color w:val="auto"/>
          <w:sz w:val="24"/>
          <w:szCs w:val="24"/>
          <w:highlight w:val="none"/>
        </w:rPr>
      </w:pPr>
      <w:r>
        <w:rPr>
          <w:rFonts w:hint="eastAsia" w:ascii="宋体" w:hAnsi="宋体"/>
          <w:color w:val="auto"/>
          <w:sz w:val="24"/>
          <w:szCs w:val="24"/>
          <w:highlight w:val="none"/>
          <w:lang w:val="en-US" w:eastAsia="zh-CN"/>
        </w:rPr>
        <w:t>4.未完全响应视为无效投标。</w:t>
      </w:r>
    </w:p>
    <w:p>
      <w:pPr>
        <w:rPr>
          <w:rFonts w:hint="eastAsia" w:ascii="仿宋" w:hAnsi="仿宋" w:eastAsia="仿宋"/>
          <w:b/>
          <w:bCs/>
          <w:color w:val="000000"/>
          <w:szCs w:val="32"/>
          <w:highlight w:val="none"/>
        </w:rPr>
      </w:pPr>
    </w:p>
    <w:p>
      <w:pPr>
        <w:pStyle w:val="6"/>
        <w:rPr>
          <w:rFonts w:hint="default"/>
          <w:lang w:val="en-US" w:eastAsia="zh-CN"/>
        </w:rPr>
      </w:pPr>
    </w:p>
    <w:sectPr>
      <w:pgSz w:w="11906" w:h="16838"/>
      <w:pgMar w:top="1984" w:right="1446" w:bottom="1644" w:left="1446" w:header="851" w:footer="992" w:gutter="283"/>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FZFSK--GBK1-0">
    <w:altName w:val="Segoe Print"/>
    <w:panose1 w:val="00000000000000000000"/>
    <w:charset w:val="00"/>
    <w:family w:val="auto"/>
    <w:pitch w:val="default"/>
    <w:sig w:usb0="00000000" w:usb1="00000000" w:usb2="00000000"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roman"/>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GC7m/jo&#10;AQAAzQMAAA4AAAAAAAAAAQAgAAAAIgEAAGRycy9lMm9Eb2MueG1sUEsFBgAAAAAGAAYAWQEAAHwF&#10;AAAAAA==&#10;">
              <v:fill on="f" focussize="0,0"/>
              <v:stroke on="f" weight="1.2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127762"/>
    <w:multiLevelType w:val="multilevel"/>
    <w:tmpl w:val="CE127762"/>
    <w:lvl w:ilvl="0" w:tentative="0">
      <w:start w:val="1"/>
      <w:numFmt w:val="chineseCounting"/>
      <w:pStyle w:val="4"/>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7F29C0"/>
    <w:rsid w:val="00105E0D"/>
    <w:rsid w:val="006A1A15"/>
    <w:rsid w:val="020531A4"/>
    <w:rsid w:val="021332F5"/>
    <w:rsid w:val="027B1A20"/>
    <w:rsid w:val="02804818"/>
    <w:rsid w:val="02C74C71"/>
    <w:rsid w:val="03116D88"/>
    <w:rsid w:val="04776124"/>
    <w:rsid w:val="0529019D"/>
    <w:rsid w:val="055B1CFE"/>
    <w:rsid w:val="05747ACB"/>
    <w:rsid w:val="05A07E9D"/>
    <w:rsid w:val="05CB7B8E"/>
    <w:rsid w:val="05EF3F4F"/>
    <w:rsid w:val="05F92C5C"/>
    <w:rsid w:val="06585F98"/>
    <w:rsid w:val="06D53CC1"/>
    <w:rsid w:val="06E27C28"/>
    <w:rsid w:val="077A1F3E"/>
    <w:rsid w:val="078E0522"/>
    <w:rsid w:val="07BC4304"/>
    <w:rsid w:val="07BD6694"/>
    <w:rsid w:val="07DD6B1A"/>
    <w:rsid w:val="07F42E2B"/>
    <w:rsid w:val="08577072"/>
    <w:rsid w:val="087D1CE6"/>
    <w:rsid w:val="088766C0"/>
    <w:rsid w:val="09187C60"/>
    <w:rsid w:val="0919607C"/>
    <w:rsid w:val="09590156"/>
    <w:rsid w:val="09616470"/>
    <w:rsid w:val="0979510D"/>
    <w:rsid w:val="0A1200EA"/>
    <w:rsid w:val="0A247ACC"/>
    <w:rsid w:val="0A5271DA"/>
    <w:rsid w:val="0ADB1A1C"/>
    <w:rsid w:val="0B27035A"/>
    <w:rsid w:val="0B2E376B"/>
    <w:rsid w:val="0B2F31E8"/>
    <w:rsid w:val="0B927A0A"/>
    <w:rsid w:val="0BF80666"/>
    <w:rsid w:val="0C120997"/>
    <w:rsid w:val="0C5E6AE5"/>
    <w:rsid w:val="0CB27AE1"/>
    <w:rsid w:val="0CB642E9"/>
    <w:rsid w:val="0D1628D9"/>
    <w:rsid w:val="0DD405FA"/>
    <w:rsid w:val="0DEE7DF7"/>
    <w:rsid w:val="0DF256B0"/>
    <w:rsid w:val="0E5054DD"/>
    <w:rsid w:val="0E841366"/>
    <w:rsid w:val="0E9335DF"/>
    <w:rsid w:val="0EBF3023"/>
    <w:rsid w:val="0ED518B9"/>
    <w:rsid w:val="0FC919CD"/>
    <w:rsid w:val="10D75D0B"/>
    <w:rsid w:val="10FE6307"/>
    <w:rsid w:val="12435D4E"/>
    <w:rsid w:val="12494C0F"/>
    <w:rsid w:val="12E9146B"/>
    <w:rsid w:val="13237F17"/>
    <w:rsid w:val="13524E3B"/>
    <w:rsid w:val="138A301D"/>
    <w:rsid w:val="140219E2"/>
    <w:rsid w:val="144E5BAF"/>
    <w:rsid w:val="14511761"/>
    <w:rsid w:val="149E1860"/>
    <w:rsid w:val="14EB0BAE"/>
    <w:rsid w:val="15066606"/>
    <w:rsid w:val="154C69CF"/>
    <w:rsid w:val="155A333B"/>
    <w:rsid w:val="15757273"/>
    <w:rsid w:val="157DFAB1"/>
    <w:rsid w:val="15C44A43"/>
    <w:rsid w:val="15D05B4B"/>
    <w:rsid w:val="15D860E5"/>
    <w:rsid w:val="15DF5DB4"/>
    <w:rsid w:val="161F44DE"/>
    <w:rsid w:val="16A85139"/>
    <w:rsid w:val="16DA6555"/>
    <w:rsid w:val="173902A7"/>
    <w:rsid w:val="17683B61"/>
    <w:rsid w:val="178E2842"/>
    <w:rsid w:val="179130B8"/>
    <w:rsid w:val="181A358A"/>
    <w:rsid w:val="18635804"/>
    <w:rsid w:val="18E64E9E"/>
    <w:rsid w:val="18F00517"/>
    <w:rsid w:val="19000B10"/>
    <w:rsid w:val="19234148"/>
    <w:rsid w:val="197576F6"/>
    <w:rsid w:val="19AC41D9"/>
    <w:rsid w:val="1B0A1A06"/>
    <w:rsid w:val="1B2D37DD"/>
    <w:rsid w:val="1B5F23DD"/>
    <w:rsid w:val="1BAC5457"/>
    <w:rsid w:val="1BB203C8"/>
    <w:rsid w:val="1BF306EA"/>
    <w:rsid w:val="1C0E4CDC"/>
    <w:rsid w:val="1C1945A6"/>
    <w:rsid w:val="1C395ACC"/>
    <w:rsid w:val="1C5A0892"/>
    <w:rsid w:val="1C5A43C0"/>
    <w:rsid w:val="1C964CCC"/>
    <w:rsid w:val="1CD20665"/>
    <w:rsid w:val="1CE7377A"/>
    <w:rsid w:val="1D22285A"/>
    <w:rsid w:val="1D3539E8"/>
    <w:rsid w:val="1DCC582D"/>
    <w:rsid w:val="1DDE5900"/>
    <w:rsid w:val="1E256C04"/>
    <w:rsid w:val="1E272107"/>
    <w:rsid w:val="1E71154D"/>
    <w:rsid w:val="1E7554E1"/>
    <w:rsid w:val="1EE67F9A"/>
    <w:rsid w:val="1F0274EC"/>
    <w:rsid w:val="1F163674"/>
    <w:rsid w:val="1F6BC299"/>
    <w:rsid w:val="1F78318C"/>
    <w:rsid w:val="1FEDF289"/>
    <w:rsid w:val="20664366"/>
    <w:rsid w:val="206C2914"/>
    <w:rsid w:val="208A48AF"/>
    <w:rsid w:val="21321E41"/>
    <w:rsid w:val="21721A3C"/>
    <w:rsid w:val="21C21C7A"/>
    <w:rsid w:val="21D617EA"/>
    <w:rsid w:val="21F4496F"/>
    <w:rsid w:val="221F1988"/>
    <w:rsid w:val="227F0AA8"/>
    <w:rsid w:val="22993850"/>
    <w:rsid w:val="22A20DE3"/>
    <w:rsid w:val="22C07DB6"/>
    <w:rsid w:val="22E4624E"/>
    <w:rsid w:val="22EF5136"/>
    <w:rsid w:val="23030608"/>
    <w:rsid w:val="230513FA"/>
    <w:rsid w:val="238E2BA1"/>
    <w:rsid w:val="23E34C9B"/>
    <w:rsid w:val="24A8491F"/>
    <w:rsid w:val="24AF098E"/>
    <w:rsid w:val="2533312E"/>
    <w:rsid w:val="253E2BAA"/>
    <w:rsid w:val="2588549E"/>
    <w:rsid w:val="2677791D"/>
    <w:rsid w:val="269728B5"/>
    <w:rsid w:val="26E24CEA"/>
    <w:rsid w:val="26FE09C5"/>
    <w:rsid w:val="27054714"/>
    <w:rsid w:val="275A34C6"/>
    <w:rsid w:val="27686727"/>
    <w:rsid w:val="27F25A6D"/>
    <w:rsid w:val="280D0433"/>
    <w:rsid w:val="28156ACF"/>
    <w:rsid w:val="2869172C"/>
    <w:rsid w:val="28824F05"/>
    <w:rsid w:val="28BA2AA2"/>
    <w:rsid w:val="28F86B73"/>
    <w:rsid w:val="29612610"/>
    <w:rsid w:val="29A60CAC"/>
    <w:rsid w:val="29EC730C"/>
    <w:rsid w:val="2A346ACA"/>
    <w:rsid w:val="2A766639"/>
    <w:rsid w:val="2B3B029A"/>
    <w:rsid w:val="2B3D18DB"/>
    <w:rsid w:val="2B6F40D6"/>
    <w:rsid w:val="2B761663"/>
    <w:rsid w:val="2B767811"/>
    <w:rsid w:val="2B8534D0"/>
    <w:rsid w:val="2BAC56D6"/>
    <w:rsid w:val="2BBD7B07"/>
    <w:rsid w:val="2BDCAA6A"/>
    <w:rsid w:val="2BED5CA8"/>
    <w:rsid w:val="2C6E3570"/>
    <w:rsid w:val="2C7F4A5D"/>
    <w:rsid w:val="2CE57B42"/>
    <w:rsid w:val="2D45146F"/>
    <w:rsid w:val="2D562E6F"/>
    <w:rsid w:val="2D7968A6"/>
    <w:rsid w:val="2DB6777A"/>
    <w:rsid w:val="2DB763D1"/>
    <w:rsid w:val="2DD82143"/>
    <w:rsid w:val="2E1E57FE"/>
    <w:rsid w:val="2E7422B9"/>
    <w:rsid w:val="2ED92E08"/>
    <w:rsid w:val="2EF35FAE"/>
    <w:rsid w:val="2F180B1E"/>
    <w:rsid w:val="2F387FAB"/>
    <w:rsid w:val="2FD572D5"/>
    <w:rsid w:val="2FF6120C"/>
    <w:rsid w:val="2FFF5EBE"/>
    <w:rsid w:val="3040408F"/>
    <w:rsid w:val="30671AE0"/>
    <w:rsid w:val="309D65F0"/>
    <w:rsid w:val="30F04C8D"/>
    <w:rsid w:val="30FD2EF9"/>
    <w:rsid w:val="310A1ACA"/>
    <w:rsid w:val="31910686"/>
    <w:rsid w:val="31FA70C8"/>
    <w:rsid w:val="32894E9C"/>
    <w:rsid w:val="32B545C0"/>
    <w:rsid w:val="32C06BD8"/>
    <w:rsid w:val="330325FA"/>
    <w:rsid w:val="331D184C"/>
    <w:rsid w:val="331F8691"/>
    <w:rsid w:val="339C21EB"/>
    <w:rsid w:val="34232E92"/>
    <w:rsid w:val="34236CA7"/>
    <w:rsid w:val="342E63AB"/>
    <w:rsid w:val="34865DB2"/>
    <w:rsid w:val="34912DA8"/>
    <w:rsid w:val="357844EF"/>
    <w:rsid w:val="35827075"/>
    <w:rsid w:val="35CC4B52"/>
    <w:rsid w:val="36024A6B"/>
    <w:rsid w:val="363140B7"/>
    <w:rsid w:val="366ED019"/>
    <w:rsid w:val="367A0FA1"/>
    <w:rsid w:val="36BD017F"/>
    <w:rsid w:val="37BC1235"/>
    <w:rsid w:val="37E35731"/>
    <w:rsid w:val="37EC4B4C"/>
    <w:rsid w:val="37EE5B68"/>
    <w:rsid w:val="37FF10BE"/>
    <w:rsid w:val="38527D74"/>
    <w:rsid w:val="385B6485"/>
    <w:rsid w:val="387D7F16"/>
    <w:rsid w:val="38A87E0A"/>
    <w:rsid w:val="391F70AC"/>
    <w:rsid w:val="39745F39"/>
    <w:rsid w:val="39DE7F87"/>
    <w:rsid w:val="3A027AA6"/>
    <w:rsid w:val="3A594DC6"/>
    <w:rsid w:val="3A73406D"/>
    <w:rsid w:val="3ABE36F1"/>
    <w:rsid w:val="3AF76471"/>
    <w:rsid w:val="3B087928"/>
    <w:rsid w:val="3B456E4D"/>
    <w:rsid w:val="3B642B80"/>
    <w:rsid w:val="3B9E12CA"/>
    <w:rsid w:val="3BBD1275"/>
    <w:rsid w:val="3BBF8DA6"/>
    <w:rsid w:val="3BCFA078"/>
    <w:rsid w:val="3BDFFB68"/>
    <w:rsid w:val="3C5869BB"/>
    <w:rsid w:val="3C5A2D2F"/>
    <w:rsid w:val="3C723640"/>
    <w:rsid w:val="3C778C10"/>
    <w:rsid w:val="3C907DC6"/>
    <w:rsid w:val="3CB976CE"/>
    <w:rsid w:val="3CCD71B1"/>
    <w:rsid w:val="3D2D1C3C"/>
    <w:rsid w:val="3D506A50"/>
    <w:rsid w:val="3D584D3C"/>
    <w:rsid w:val="3D635A24"/>
    <w:rsid w:val="3DCA0369"/>
    <w:rsid w:val="3DDFB6D9"/>
    <w:rsid w:val="3DFD969B"/>
    <w:rsid w:val="3E5F0364"/>
    <w:rsid w:val="3EFB46FB"/>
    <w:rsid w:val="3EFF7734"/>
    <w:rsid w:val="3F47956D"/>
    <w:rsid w:val="3F4E82F5"/>
    <w:rsid w:val="3F5DBE24"/>
    <w:rsid w:val="3FAB423F"/>
    <w:rsid w:val="3FADB58C"/>
    <w:rsid w:val="3FE00C86"/>
    <w:rsid w:val="3FF3A26A"/>
    <w:rsid w:val="3FFA855A"/>
    <w:rsid w:val="3FFAA89D"/>
    <w:rsid w:val="3FFE6B54"/>
    <w:rsid w:val="3FFF5604"/>
    <w:rsid w:val="400E2BA7"/>
    <w:rsid w:val="401421C6"/>
    <w:rsid w:val="40217FC5"/>
    <w:rsid w:val="403E0D01"/>
    <w:rsid w:val="409E2E12"/>
    <w:rsid w:val="410427B6"/>
    <w:rsid w:val="416A65A4"/>
    <w:rsid w:val="417C7F1D"/>
    <w:rsid w:val="417E204F"/>
    <w:rsid w:val="4195772C"/>
    <w:rsid w:val="41B20938"/>
    <w:rsid w:val="41DD42A4"/>
    <w:rsid w:val="41EA08B5"/>
    <w:rsid w:val="426B5A29"/>
    <w:rsid w:val="42D513C9"/>
    <w:rsid w:val="430E5E8F"/>
    <w:rsid w:val="431018E9"/>
    <w:rsid w:val="432E4C25"/>
    <w:rsid w:val="439D37F0"/>
    <w:rsid w:val="43A51B15"/>
    <w:rsid w:val="43CD6976"/>
    <w:rsid w:val="43F7804D"/>
    <w:rsid w:val="44666C8A"/>
    <w:rsid w:val="44893140"/>
    <w:rsid w:val="44C45FCB"/>
    <w:rsid w:val="44EF1A75"/>
    <w:rsid w:val="451F3201"/>
    <w:rsid w:val="452B2377"/>
    <w:rsid w:val="45AC2970"/>
    <w:rsid w:val="45C046FE"/>
    <w:rsid w:val="45E27B58"/>
    <w:rsid w:val="45EA0DC5"/>
    <w:rsid w:val="466F579B"/>
    <w:rsid w:val="46C73C2B"/>
    <w:rsid w:val="46EB442E"/>
    <w:rsid w:val="46F62951"/>
    <w:rsid w:val="473067B8"/>
    <w:rsid w:val="474D5D02"/>
    <w:rsid w:val="482A5A71"/>
    <w:rsid w:val="4852353A"/>
    <w:rsid w:val="489F1A9F"/>
    <w:rsid w:val="48BF71D5"/>
    <w:rsid w:val="48DE3E67"/>
    <w:rsid w:val="48E74F12"/>
    <w:rsid w:val="48E82D4D"/>
    <w:rsid w:val="49021C13"/>
    <w:rsid w:val="49841935"/>
    <w:rsid w:val="49A565E2"/>
    <w:rsid w:val="49BF718C"/>
    <w:rsid w:val="49DE5CE3"/>
    <w:rsid w:val="4A2F2CC3"/>
    <w:rsid w:val="4A392B67"/>
    <w:rsid w:val="4A423EE2"/>
    <w:rsid w:val="4AB54221"/>
    <w:rsid w:val="4AE67352"/>
    <w:rsid w:val="4D4B6FDB"/>
    <w:rsid w:val="4DFF641F"/>
    <w:rsid w:val="4E593A09"/>
    <w:rsid w:val="4EA06114"/>
    <w:rsid w:val="4EC45545"/>
    <w:rsid w:val="4F334FFF"/>
    <w:rsid w:val="4F3FFB54"/>
    <w:rsid w:val="4F512282"/>
    <w:rsid w:val="4F77349F"/>
    <w:rsid w:val="4F7D08F7"/>
    <w:rsid w:val="4F9A7AF4"/>
    <w:rsid w:val="4F9D6A8D"/>
    <w:rsid w:val="4FE02B99"/>
    <w:rsid w:val="4FE04AD3"/>
    <w:rsid w:val="4FFE23E7"/>
    <w:rsid w:val="4FFFCA5F"/>
    <w:rsid w:val="501A12CE"/>
    <w:rsid w:val="508B0636"/>
    <w:rsid w:val="5097639C"/>
    <w:rsid w:val="51134562"/>
    <w:rsid w:val="511D718F"/>
    <w:rsid w:val="51763829"/>
    <w:rsid w:val="518854D4"/>
    <w:rsid w:val="51B80C66"/>
    <w:rsid w:val="51D95F60"/>
    <w:rsid w:val="523F5D72"/>
    <w:rsid w:val="52980107"/>
    <w:rsid w:val="52A40883"/>
    <w:rsid w:val="52AA6775"/>
    <w:rsid w:val="52DD4E9F"/>
    <w:rsid w:val="52E224E5"/>
    <w:rsid w:val="53242CF6"/>
    <w:rsid w:val="532A6DFE"/>
    <w:rsid w:val="5333237F"/>
    <w:rsid w:val="533B21AC"/>
    <w:rsid w:val="53670F14"/>
    <w:rsid w:val="53BF1070"/>
    <w:rsid w:val="53DE7BA6"/>
    <w:rsid w:val="53EE813B"/>
    <w:rsid w:val="541D49C9"/>
    <w:rsid w:val="54280B64"/>
    <w:rsid w:val="546A4CE1"/>
    <w:rsid w:val="546B6463"/>
    <w:rsid w:val="5491100B"/>
    <w:rsid w:val="54B9117B"/>
    <w:rsid w:val="54BFA43E"/>
    <w:rsid w:val="54D526BD"/>
    <w:rsid w:val="55102595"/>
    <w:rsid w:val="551D718B"/>
    <w:rsid w:val="55691AAF"/>
    <w:rsid w:val="55FBAB53"/>
    <w:rsid w:val="55FF1AA1"/>
    <w:rsid w:val="562D7B36"/>
    <w:rsid w:val="56474B1D"/>
    <w:rsid w:val="56AA48DD"/>
    <w:rsid w:val="56D51E02"/>
    <w:rsid w:val="56F70624"/>
    <w:rsid w:val="56FD9094"/>
    <w:rsid w:val="57024C10"/>
    <w:rsid w:val="57B048AD"/>
    <w:rsid w:val="57BF8AB4"/>
    <w:rsid w:val="57BF8E0E"/>
    <w:rsid w:val="57CD7DFD"/>
    <w:rsid w:val="57D577A7"/>
    <w:rsid w:val="57DC4BB3"/>
    <w:rsid w:val="57EB10F9"/>
    <w:rsid w:val="57FDD371"/>
    <w:rsid w:val="585469CA"/>
    <w:rsid w:val="58B27195"/>
    <w:rsid w:val="58BE7724"/>
    <w:rsid w:val="590E61FE"/>
    <w:rsid w:val="5932777F"/>
    <w:rsid w:val="594E4292"/>
    <w:rsid w:val="59746D01"/>
    <w:rsid w:val="59EE16C8"/>
    <w:rsid w:val="59FF38D6"/>
    <w:rsid w:val="5A4178A0"/>
    <w:rsid w:val="5A5255BC"/>
    <w:rsid w:val="5A5843E0"/>
    <w:rsid w:val="5A766A76"/>
    <w:rsid w:val="5A9A1C29"/>
    <w:rsid w:val="5ABC3945"/>
    <w:rsid w:val="5AE627B6"/>
    <w:rsid w:val="5AE850AD"/>
    <w:rsid w:val="5AF95341"/>
    <w:rsid w:val="5B4A5B54"/>
    <w:rsid w:val="5BDD44F5"/>
    <w:rsid w:val="5CEB0AAB"/>
    <w:rsid w:val="5D2B27E7"/>
    <w:rsid w:val="5D521F6E"/>
    <w:rsid w:val="5D744B62"/>
    <w:rsid w:val="5DA56442"/>
    <w:rsid w:val="5DBB4CDD"/>
    <w:rsid w:val="5DC80482"/>
    <w:rsid w:val="5DD85918"/>
    <w:rsid w:val="5DFAA19F"/>
    <w:rsid w:val="5E0943D3"/>
    <w:rsid w:val="5E2436A9"/>
    <w:rsid w:val="5E2A3498"/>
    <w:rsid w:val="5E7909FC"/>
    <w:rsid w:val="5EA110CF"/>
    <w:rsid w:val="5EA950AF"/>
    <w:rsid w:val="5EE410BC"/>
    <w:rsid w:val="5EE64B59"/>
    <w:rsid w:val="5EFB43D4"/>
    <w:rsid w:val="5EFF1384"/>
    <w:rsid w:val="5EFF17A8"/>
    <w:rsid w:val="5F405755"/>
    <w:rsid w:val="5F443B39"/>
    <w:rsid w:val="5FBE0F18"/>
    <w:rsid w:val="5FCE61BA"/>
    <w:rsid w:val="5FEDDD8D"/>
    <w:rsid w:val="5FEE33BC"/>
    <w:rsid w:val="5FFD3A21"/>
    <w:rsid w:val="600A3F4F"/>
    <w:rsid w:val="60744AC6"/>
    <w:rsid w:val="60744B66"/>
    <w:rsid w:val="6081333B"/>
    <w:rsid w:val="60C01528"/>
    <w:rsid w:val="615D1082"/>
    <w:rsid w:val="616E7CC6"/>
    <w:rsid w:val="61D1258B"/>
    <w:rsid w:val="622E6285"/>
    <w:rsid w:val="627A10DA"/>
    <w:rsid w:val="62914F07"/>
    <w:rsid w:val="62B71584"/>
    <w:rsid w:val="62CE5C69"/>
    <w:rsid w:val="635E227D"/>
    <w:rsid w:val="63AF9AD1"/>
    <w:rsid w:val="63C00461"/>
    <w:rsid w:val="63D15554"/>
    <w:rsid w:val="63DB2E98"/>
    <w:rsid w:val="63FFCC90"/>
    <w:rsid w:val="645F1FA2"/>
    <w:rsid w:val="649F6DD7"/>
    <w:rsid w:val="64B25B99"/>
    <w:rsid w:val="64E46315"/>
    <w:rsid w:val="65772333"/>
    <w:rsid w:val="65A75A3F"/>
    <w:rsid w:val="65FD6434"/>
    <w:rsid w:val="665C32B6"/>
    <w:rsid w:val="665E22FF"/>
    <w:rsid w:val="666557B4"/>
    <w:rsid w:val="66924883"/>
    <w:rsid w:val="66DF8632"/>
    <w:rsid w:val="66ED2D08"/>
    <w:rsid w:val="6709276D"/>
    <w:rsid w:val="67A40418"/>
    <w:rsid w:val="67BF1465"/>
    <w:rsid w:val="67FD45EA"/>
    <w:rsid w:val="67FFBFA1"/>
    <w:rsid w:val="680A4A85"/>
    <w:rsid w:val="682246C3"/>
    <w:rsid w:val="685A43CD"/>
    <w:rsid w:val="68C303C5"/>
    <w:rsid w:val="69886D18"/>
    <w:rsid w:val="699A597D"/>
    <w:rsid w:val="69CE40EB"/>
    <w:rsid w:val="69CE7168"/>
    <w:rsid w:val="69ED00DF"/>
    <w:rsid w:val="69FF8931"/>
    <w:rsid w:val="6A23552C"/>
    <w:rsid w:val="6A4D3BB3"/>
    <w:rsid w:val="6A783A54"/>
    <w:rsid w:val="6A9276CE"/>
    <w:rsid w:val="6AC33DB7"/>
    <w:rsid w:val="6B272C8C"/>
    <w:rsid w:val="6B3D698B"/>
    <w:rsid w:val="6B756F24"/>
    <w:rsid w:val="6B7EADF1"/>
    <w:rsid w:val="6B9D4684"/>
    <w:rsid w:val="6BE31711"/>
    <w:rsid w:val="6BFB0492"/>
    <w:rsid w:val="6C093BB7"/>
    <w:rsid w:val="6C7D42B3"/>
    <w:rsid w:val="6C800766"/>
    <w:rsid w:val="6C9D621C"/>
    <w:rsid w:val="6CB24EA6"/>
    <w:rsid w:val="6CDA5121"/>
    <w:rsid w:val="6CDB6426"/>
    <w:rsid w:val="6CE76B6B"/>
    <w:rsid w:val="6D7E6C26"/>
    <w:rsid w:val="6D7FDBD1"/>
    <w:rsid w:val="6DE57D58"/>
    <w:rsid w:val="6E25115A"/>
    <w:rsid w:val="6E545E96"/>
    <w:rsid w:val="6EDC4386"/>
    <w:rsid w:val="6F2B0EB2"/>
    <w:rsid w:val="6F2B2745"/>
    <w:rsid w:val="6F4EA6DC"/>
    <w:rsid w:val="6F881952"/>
    <w:rsid w:val="6FAE71DE"/>
    <w:rsid w:val="6FB875DD"/>
    <w:rsid w:val="6FDF34D9"/>
    <w:rsid w:val="6FF10852"/>
    <w:rsid w:val="6FFA3DC5"/>
    <w:rsid w:val="70424FCB"/>
    <w:rsid w:val="7064228D"/>
    <w:rsid w:val="70781894"/>
    <w:rsid w:val="70906DB0"/>
    <w:rsid w:val="70926274"/>
    <w:rsid w:val="70F65D45"/>
    <w:rsid w:val="71070737"/>
    <w:rsid w:val="711C739F"/>
    <w:rsid w:val="7148570A"/>
    <w:rsid w:val="714A55A3"/>
    <w:rsid w:val="71FF4692"/>
    <w:rsid w:val="721B4BCD"/>
    <w:rsid w:val="727A600B"/>
    <w:rsid w:val="73556790"/>
    <w:rsid w:val="73593686"/>
    <w:rsid w:val="73912327"/>
    <w:rsid w:val="73DD4830"/>
    <w:rsid w:val="740E2A73"/>
    <w:rsid w:val="7449514D"/>
    <w:rsid w:val="74F05498"/>
    <w:rsid w:val="74F7E479"/>
    <w:rsid w:val="75230E6C"/>
    <w:rsid w:val="75375652"/>
    <w:rsid w:val="757D209B"/>
    <w:rsid w:val="75E17FA0"/>
    <w:rsid w:val="76851315"/>
    <w:rsid w:val="76942F90"/>
    <w:rsid w:val="76B8144B"/>
    <w:rsid w:val="76EDC48E"/>
    <w:rsid w:val="76F9FBE7"/>
    <w:rsid w:val="76FDB31E"/>
    <w:rsid w:val="773F28EE"/>
    <w:rsid w:val="7746554F"/>
    <w:rsid w:val="77485275"/>
    <w:rsid w:val="77752653"/>
    <w:rsid w:val="7787F727"/>
    <w:rsid w:val="7799F562"/>
    <w:rsid w:val="779E3CAC"/>
    <w:rsid w:val="77F48488"/>
    <w:rsid w:val="77FB97FD"/>
    <w:rsid w:val="7826E6D4"/>
    <w:rsid w:val="787F56C2"/>
    <w:rsid w:val="78AC52A2"/>
    <w:rsid w:val="78BC2F0E"/>
    <w:rsid w:val="78BE08F2"/>
    <w:rsid w:val="78CD104B"/>
    <w:rsid w:val="78E207A8"/>
    <w:rsid w:val="78E42EB1"/>
    <w:rsid w:val="78F46C59"/>
    <w:rsid w:val="78FFC16C"/>
    <w:rsid w:val="79101DAE"/>
    <w:rsid w:val="7927654D"/>
    <w:rsid w:val="79B7CDBD"/>
    <w:rsid w:val="79C74517"/>
    <w:rsid w:val="79C91199"/>
    <w:rsid w:val="79DE7FD2"/>
    <w:rsid w:val="79FFD6B0"/>
    <w:rsid w:val="7A316DFD"/>
    <w:rsid w:val="7AD9BC8B"/>
    <w:rsid w:val="7AEF23D0"/>
    <w:rsid w:val="7AF9C4A4"/>
    <w:rsid w:val="7AFF4B2E"/>
    <w:rsid w:val="7B185165"/>
    <w:rsid w:val="7B533262"/>
    <w:rsid w:val="7B79B0B2"/>
    <w:rsid w:val="7B7B58B3"/>
    <w:rsid w:val="7B838467"/>
    <w:rsid w:val="7B9D2AF7"/>
    <w:rsid w:val="7B9F993D"/>
    <w:rsid w:val="7BAB0893"/>
    <w:rsid w:val="7BB71A7E"/>
    <w:rsid w:val="7BD060AF"/>
    <w:rsid w:val="7BF50CBD"/>
    <w:rsid w:val="7BF5FEBA"/>
    <w:rsid w:val="7BF75F34"/>
    <w:rsid w:val="7BF92C85"/>
    <w:rsid w:val="7BFD0D28"/>
    <w:rsid w:val="7BFF78D2"/>
    <w:rsid w:val="7BFF9957"/>
    <w:rsid w:val="7C3C0DF9"/>
    <w:rsid w:val="7C6218BA"/>
    <w:rsid w:val="7C8DE5DC"/>
    <w:rsid w:val="7CEA1FCA"/>
    <w:rsid w:val="7CFC7A09"/>
    <w:rsid w:val="7D2A44B7"/>
    <w:rsid w:val="7D440C99"/>
    <w:rsid w:val="7D491447"/>
    <w:rsid w:val="7D4F6073"/>
    <w:rsid w:val="7D7F934C"/>
    <w:rsid w:val="7DBF6247"/>
    <w:rsid w:val="7DC738FF"/>
    <w:rsid w:val="7DDA8D45"/>
    <w:rsid w:val="7DDB2DCF"/>
    <w:rsid w:val="7DDD8608"/>
    <w:rsid w:val="7DECCECD"/>
    <w:rsid w:val="7DFB5924"/>
    <w:rsid w:val="7DFD39E0"/>
    <w:rsid w:val="7DFF9717"/>
    <w:rsid w:val="7E204597"/>
    <w:rsid w:val="7E2F4DF4"/>
    <w:rsid w:val="7EAF0B77"/>
    <w:rsid w:val="7EBF00E1"/>
    <w:rsid w:val="7EC14D4E"/>
    <w:rsid w:val="7EDD3D92"/>
    <w:rsid w:val="7EFB52E1"/>
    <w:rsid w:val="7F2ED02E"/>
    <w:rsid w:val="7F532987"/>
    <w:rsid w:val="7F5366AF"/>
    <w:rsid w:val="7F5F3E9F"/>
    <w:rsid w:val="7F765309"/>
    <w:rsid w:val="7FBDC819"/>
    <w:rsid w:val="7FBE2F0D"/>
    <w:rsid w:val="7FCEF134"/>
    <w:rsid w:val="7FCFD670"/>
    <w:rsid w:val="7FDB53F7"/>
    <w:rsid w:val="7FDF8D03"/>
    <w:rsid w:val="7FE575B8"/>
    <w:rsid w:val="7FEB5809"/>
    <w:rsid w:val="7FF31812"/>
    <w:rsid w:val="7FF3F264"/>
    <w:rsid w:val="7FF57983"/>
    <w:rsid w:val="7FF95D88"/>
    <w:rsid w:val="7FFB48A5"/>
    <w:rsid w:val="7FFC01E4"/>
    <w:rsid w:val="7FFDB5C4"/>
    <w:rsid w:val="7FFE66FF"/>
    <w:rsid w:val="7FFEACF2"/>
    <w:rsid w:val="7FFF60DB"/>
    <w:rsid w:val="7FFFAC1A"/>
    <w:rsid w:val="88DF5363"/>
    <w:rsid w:val="8FFFDE82"/>
    <w:rsid w:val="901F8BAE"/>
    <w:rsid w:val="94FFC8BA"/>
    <w:rsid w:val="973EAA8B"/>
    <w:rsid w:val="9777AAF4"/>
    <w:rsid w:val="981F0672"/>
    <w:rsid w:val="9ABDD954"/>
    <w:rsid w:val="9AF7AFE3"/>
    <w:rsid w:val="9BEDE41D"/>
    <w:rsid w:val="9DFFC770"/>
    <w:rsid w:val="9F7F8AF1"/>
    <w:rsid w:val="9FE57EF8"/>
    <w:rsid w:val="9FFF9552"/>
    <w:rsid w:val="A6E7D97D"/>
    <w:rsid w:val="A7D7C600"/>
    <w:rsid w:val="ABD48AD1"/>
    <w:rsid w:val="ABFF665C"/>
    <w:rsid w:val="ADBEEB36"/>
    <w:rsid w:val="AFBE6257"/>
    <w:rsid w:val="AFFD6EEC"/>
    <w:rsid w:val="AFFF4D6F"/>
    <w:rsid w:val="AFFFD6A0"/>
    <w:rsid w:val="B3FD9590"/>
    <w:rsid w:val="B5FF9A66"/>
    <w:rsid w:val="B7FD353E"/>
    <w:rsid w:val="B87712A3"/>
    <w:rsid w:val="B8FFAEF7"/>
    <w:rsid w:val="BAFF0CA7"/>
    <w:rsid w:val="BAFFE897"/>
    <w:rsid w:val="BBD695B8"/>
    <w:rsid w:val="BCBF9616"/>
    <w:rsid w:val="BD2BF41E"/>
    <w:rsid w:val="BDAEEEE4"/>
    <w:rsid w:val="BDCFE608"/>
    <w:rsid w:val="BDEB03A0"/>
    <w:rsid w:val="BEDFBCBB"/>
    <w:rsid w:val="BEE91C44"/>
    <w:rsid w:val="BEED9A4D"/>
    <w:rsid w:val="BF5DF424"/>
    <w:rsid w:val="BF76BD9E"/>
    <w:rsid w:val="BF7EE4C4"/>
    <w:rsid w:val="BF7FCD0F"/>
    <w:rsid w:val="BFABA5D7"/>
    <w:rsid w:val="BFDE0C9C"/>
    <w:rsid w:val="BFF4D981"/>
    <w:rsid w:val="BFFC1574"/>
    <w:rsid w:val="BFFE0895"/>
    <w:rsid w:val="BFFF39E8"/>
    <w:rsid w:val="C77FA1E0"/>
    <w:rsid w:val="C7AB1155"/>
    <w:rsid w:val="CA751540"/>
    <w:rsid w:val="CADE42BB"/>
    <w:rsid w:val="CC6B7562"/>
    <w:rsid w:val="CEFFD445"/>
    <w:rsid w:val="CF70656D"/>
    <w:rsid w:val="CF7B1EA8"/>
    <w:rsid w:val="CFC7D979"/>
    <w:rsid w:val="D48DD7F6"/>
    <w:rsid w:val="D66FB4D3"/>
    <w:rsid w:val="D6ADFF2D"/>
    <w:rsid w:val="D6BFE7BA"/>
    <w:rsid w:val="D6CF1685"/>
    <w:rsid w:val="D75F50DC"/>
    <w:rsid w:val="D7DF8604"/>
    <w:rsid w:val="D7EFD19D"/>
    <w:rsid w:val="D9FFA9EE"/>
    <w:rsid w:val="DADEB44E"/>
    <w:rsid w:val="DAF52009"/>
    <w:rsid w:val="DB7F0E3C"/>
    <w:rsid w:val="DB942AFF"/>
    <w:rsid w:val="DBAFEE23"/>
    <w:rsid w:val="DBF18050"/>
    <w:rsid w:val="DBFF2772"/>
    <w:rsid w:val="DCFE6ED8"/>
    <w:rsid w:val="DDEE5548"/>
    <w:rsid w:val="DDF3FB7F"/>
    <w:rsid w:val="DDF5C41F"/>
    <w:rsid w:val="DDFDB1C8"/>
    <w:rsid w:val="DE3F2A63"/>
    <w:rsid w:val="DE7D644B"/>
    <w:rsid w:val="DEFFE34E"/>
    <w:rsid w:val="DF3E137D"/>
    <w:rsid w:val="DF6CDCFA"/>
    <w:rsid w:val="DF7F29C0"/>
    <w:rsid w:val="DF97ADB4"/>
    <w:rsid w:val="DFAF9B5F"/>
    <w:rsid w:val="DFBF5E67"/>
    <w:rsid w:val="DFBFFC70"/>
    <w:rsid w:val="DFDF89EA"/>
    <w:rsid w:val="E6D3C369"/>
    <w:rsid w:val="E6DFE4E1"/>
    <w:rsid w:val="E95EA10F"/>
    <w:rsid w:val="E9FF2063"/>
    <w:rsid w:val="EA5B7B7A"/>
    <w:rsid w:val="EA7E1D60"/>
    <w:rsid w:val="EBCE6E18"/>
    <w:rsid w:val="EC7FE297"/>
    <w:rsid w:val="ECED8675"/>
    <w:rsid w:val="ED79D670"/>
    <w:rsid w:val="EDA57A23"/>
    <w:rsid w:val="EDE3BD6A"/>
    <w:rsid w:val="EDFC1955"/>
    <w:rsid w:val="EE7D7A5C"/>
    <w:rsid w:val="EEAFABC9"/>
    <w:rsid w:val="EEBD54F2"/>
    <w:rsid w:val="EF3776D5"/>
    <w:rsid w:val="EF7FBA20"/>
    <w:rsid w:val="EF9B035F"/>
    <w:rsid w:val="EFBFE4C7"/>
    <w:rsid w:val="EFEB3757"/>
    <w:rsid w:val="EFFFDD8F"/>
    <w:rsid w:val="F19F2D32"/>
    <w:rsid w:val="F2C7D2BE"/>
    <w:rsid w:val="F36FD4BD"/>
    <w:rsid w:val="F37B1468"/>
    <w:rsid w:val="F3FF058D"/>
    <w:rsid w:val="F53B25C4"/>
    <w:rsid w:val="F53FA738"/>
    <w:rsid w:val="F56B2CD5"/>
    <w:rsid w:val="F5DD2E85"/>
    <w:rsid w:val="F5FEF45B"/>
    <w:rsid w:val="F63FC8ED"/>
    <w:rsid w:val="F66F3F33"/>
    <w:rsid w:val="F6FF56E4"/>
    <w:rsid w:val="F76F3F0A"/>
    <w:rsid w:val="F77E0E15"/>
    <w:rsid w:val="F77FB44A"/>
    <w:rsid w:val="F7BF9014"/>
    <w:rsid w:val="F7FD3A88"/>
    <w:rsid w:val="F7FE57AB"/>
    <w:rsid w:val="F8BB8469"/>
    <w:rsid w:val="F8C71911"/>
    <w:rsid w:val="F96F2A40"/>
    <w:rsid w:val="F9EF8AE2"/>
    <w:rsid w:val="FA7ED601"/>
    <w:rsid w:val="FAF34064"/>
    <w:rsid w:val="FB7F774B"/>
    <w:rsid w:val="FB7FAD4E"/>
    <w:rsid w:val="FBE1B7FA"/>
    <w:rsid w:val="FBEF67B5"/>
    <w:rsid w:val="FBEFD909"/>
    <w:rsid w:val="FBF2053C"/>
    <w:rsid w:val="FBF6A5BA"/>
    <w:rsid w:val="FBFB2182"/>
    <w:rsid w:val="FBFB3888"/>
    <w:rsid w:val="FBFF7902"/>
    <w:rsid w:val="FBFFF084"/>
    <w:rsid w:val="FC7BE89B"/>
    <w:rsid w:val="FCACE3C1"/>
    <w:rsid w:val="FCCBBCA7"/>
    <w:rsid w:val="FCDFF044"/>
    <w:rsid w:val="FD37713E"/>
    <w:rsid w:val="FD7F8DD6"/>
    <w:rsid w:val="FDBF4F27"/>
    <w:rsid w:val="FDDDC8F2"/>
    <w:rsid w:val="FDDF6D3E"/>
    <w:rsid w:val="FDDF8360"/>
    <w:rsid w:val="FDF8235A"/>
    <w:rsid w:val="FDFB17D5"/>
    <w:rsid w:val="FE97B953"/>
    <w:rsid w:val="FEFE3FAA"/>
    <w:rsid w:val="FF171B1C"/>
    <w:rsid w:val="FF19492E"/>
    <w:rsid w:val="FF3CD67A"/>
    <w:rsid w:val="FF48198D"/>
    <w:rsid w:val="FF6BA7B9"/>
    <w:rsid w:val="FF6F78C8"/>
    <w:rsid w:val="FF730CCE"/>
    <w:rsid w:val="FF7DA0DA"/>
    <w:rsid w:val="FF7F7C72"/>
    <w:rsid w:val="FF7FBBBB"/>
    <w:rsid w:val="FFAF02A8"/>
    <w:rsid w:val="FFB6C043"/>
    <w:rsid w:val="FFD2AD31"/>
    <w:rsid w:val="FFE7A5D1"/>
    <w:rsid w:val="FFEBDCCD"/>
    <w:rsid w:val="FFF30FF6"/>
    <w:rsid w:val="FFF9205B"/>
    <w:rsid w:val="FFFD39F3"/>
    <w:rsid w:val="FFFDB558"/>
    <w:rsid w:val="FFFF448B"/>
    <w:rsid w:val="FFFFF5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2"/>
      <w:lang w:val="en-US" w:eastAsia="zh-CN" w:bidi="ar-SA"/>
    </w:rPr>
  </w:style>
  <w:style w:type="paragraph" w:styleId="4">
    <w:name w:val="heading 1"/>
    <w:basedOn w:val="1"/>
    <w:next w:val="1"/>
    <w:qFormat/>
    <w:uiPriority w:val="0"/>
    <w:pPr>
      <w:keepNext/>
      <w:keepLines/>
      <w:numPr>
        <w:ilvl w:val="0"/>
        <w:numId w:val="1"/>
      </w:numPr>
      <w:tabs>
        <w:tab w:val="left" w:pos="0"/>
      </w:tabs>
      <w:spacing w:before="20" w:after="20" w:line="360" w:lineRule="auto"/>
      <w:outlineLvl w:val="0"/>
    </w:pPr>
    <w:rPr>
      <w:rFonts w:ascii="宋体" w:hAnsi="宋体" w:eastAsia="宋体"/>
      <w:b/>
      <w:kern w:val="44"/>
      <w:sz w:val="44"/>
    </w:rPr>
  </w:style>
  <w:style w:type="paragraph" w:styleId="5">
    <w:name w:val="heading 2"/>
    <w:basedOn w:val="1"/>
    <w:next w:val="1"/>
    <w:qFormat/>
    <w:uiPriority w:val="0"/>
    <w:pPr>
      <w:keepNext/>
      <w:keepLines/>
      <w:spacing w:line="360" w:lineRule="auto"/>
      <w:jc w:val="center"/>
      <w:outlineLvl w:val="1"/>
    </w:pPr>
    <w:rPr>
      <w:rFonts w:cs="宋体"/>
      <w:b/>
      <w:bCs/>
      <w:sz w:val="28"/>
    </w:rPr>
  </w:style>
  <w:style w:type="paragraph" w:styleId="6">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3"/>
    <w:qFormat/>
    <w:uiPriority w:val="0"/>
    <w:pPr>
      <w:widowControl w:val="0"/>
      <w:spacing w:after="120"/>
      <w:ind w:left="420" w:leftChars="200" w:firstLine="420" w:firstLineChars="200"/>
      <w:jc w:val="both"/>
    </w:pPr>
    <w:rPr>
      <w:rFonts w:ascii="Times New Roman" w:hAnsi="Times New Roman" w:eastAsia="方正仿宋_GB2312" w:cs="Times New Roman"/>
      <w:kern w:val="2"/>
      <w:sz w:val="32"/>
      <w:lang w:val="en-US" w:eastAsia="zh-CN" w:bidi="ar-SA"/>
    </w:rPr>
  </w:style>
  <w:style w:type="paragraph" w:customStyle="1" w:styleId="3">
    <w:name w:val="样式 正文首行缩进 2 + 首行缩进:  2 字符"/>
    <w:basedOn w:val="1"/>
    <w:next w:val="1"/>
    <w:qFormat/>
    <w:uiPriority w:val="0"/>
    <w:pPr>
      <w:ind w:firstLine="480" w:firstLineChars="200"/>
    </w:pPr>
    <w:rPr>
      <w:rFonts w:cs="宋体"/>
      <w:sz w:val="24"/>
      <w:szCs w:val="20"/>
    </w:rPr>
  </w:style>
  <w:style w:type="paragraph" w:styleId="7">
    <w:name w:val="Normal Indent"/>
    <w:basedOn w:val="1"/>
    <w:next w:val="1"/>
    <w:qFormat/>
    <w:uiPriority w:val="0"/>
    <w:pPr>
      <w:adjustRightInd w:val="0"/>
      <w:snapToGrid w:val="0"/>
      <w:spacing w:line="360" w:lineRule="auto"/>
      <w:ind w:firstLine="420"/>
    </w:p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pPr>
      <w:spacing w:before="120" w:after="120"/>
    </w:pPr>
    <w:rPr>
      <w:rFonts w:ascii="Calibri" w:hAnsi="Calibri"/>
      <w:b/>
      <w:bCs/>
      <w:caps/>
      <w:sz w:val="20"/>
      <w:szCs w:val="20"/>
    </w:rPr>
  </w:style>
  <w:style w:type="paragraph" w:styleId="13">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Title"/>
    <w:basedOn w:val="1"/>
    <w:next w:val="1"/>
    <w:qFormat/>
    <w:uiPriority w:val="10"/>
    <w:pPr>
      <w:spacing w:before="240" w:after="60"/>
      <w:jc w:val="center"/>
      <w:outlineLvl w:val="0"/>
    </w:pPr>
    <w:rPr>
      <w:rFonts w:ascii="Cambria" w:hAnsi="Cambria"/>
      <w:b/>
      <w:bCs/>
      <w:sz w:val="32"/>
      <w:szCs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Emphasis"/>
    <w:basedOn w:val="18"/>
    <w:qFormat/>
    <w:uiPriority w:val="0"/>
    <w:rPr>
      <w:i/>
    </w:rPr>
  </w:style>
  <w:style w:type="paragraph" w:customStyle="1" w:styleId="21">
    <w:name w:val="样式1"/>
    <w:basedOn w:val="11"/>
    <w:next w:val="1"/>
    <w:qFormat/>
    <w:uiPriority w:val="0"/>
    <w:pPr>
      <w:ind w:firstLine="0" w:firstLineChars="0"/>
      <w:jc w:val="center"/>
    </w:pPr>
    <w:rPr>
      <w:rFonts w:ascii="方正小标宋_GBK" w:eastAsia="方正小标宋_GBK" w:cs="Times New Roman"/>
      <w:sz w:val="44"/>
      <w:szCs w:val="44"/>
    </w:rPr>
  </w:style>
  <w:style w:type="paragraph" w:customStyle="1" w:styleId="22">
    <w:name w:val="Char"/>
    <w:basedOn w:val="1"/>
    <w:qFormat/>
    <w:uiPriority w:val="0"/>
    <w:rPr>
      <w:rFonts w:ascii="Arial" w:hAnsi="Arial" w:eastAsia="仿宋_GB2312" w:cs="Arial"/>
      <w:sz w:val="20"/>
      <w:szCs w:val="20"/>
    </w:rPr>
  </w:style>
  <w:style w:type="paragraph" w:customStyle="1" w:styleId="23">
    <w:name w:val="Default"/>
    <w:next w:val="1"/>
    <w:qFormat/>
    <w:uiPriority w:val="0"/>
    <w:pPr>
      <w:widowControl w:val="0"/>
      <w:autoSpaceDE w:val="0"/>
      <w:autoSpaceDN w:val="0"/>
      <w:adjustRightInd w:val="0"/>
    </w:pPr>
    <w:rPr>
      <w:rFonts w:hint="eastAsia" w:ascii="Times New Roman" w:hAnsi="Times New Roman" w:eastAsia="方正仿宋_GBK" w:cs="Times New Roman"/>
      <w:color w:val="000000"/>
      <w:sz w:val="32"/>
      <w:szCs w:val="22"/>
      <w:lang w:val="en-US" w:eastAsia="zh-CN" w:bidi="ar-SA"/>
    </w:rPr>
  </w:style>
  <w:style w:type="character" w:customStyle="1" w:styleId="24">
    <w:name w:val="fontstyle01"/>
    <w:basedOn w:val="18"/>
    <w:qFormat/>
    <w:uiPriority w:val="0"/>
    <w:rPr>
      <w:rFonts w:ascii="FZFSK--GBK1-0" w:hAnsi="FZFSK--GBK1-0" w:eastAsia="FZFSK--GBK1-0" w:cs="FZFSK--GBK1-0"/>
      <w:color w:val="00000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11775</Words>
  <Characters>12005</Characters>
  <Lines>0</Lines>
  <Paragraphs>0</Paragraphs>
  <TotalTime>2</TotalTime>
  <ScaleCrop>false</ScaleCrop>
  <LinksUpToDate>false</LinksUpToDate>
  <CharactersWithSpaces>12440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2025-07-27T09:40:00Z</dcterms:created>
  <dc:creator>严思琪</dc:creator>
  <cp:lastModifiedBy>姚韵丰</cp:lastModifiedBy>
  <cp:lastPrinted>2026-10-19T06:18:00Z</cp:lastPrinted>
  <dcterms:modified xsi:type="dcterms:W3CDTF">2026-10-26T02:20:52Z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92D4D548D0094A7082DC8075619576A9</vt:lpwstr>
  </property>
  <property fmtid="{D5CDD505-2E9C-101B-9397-08002B2CF9AE}" pid="4" name="KSOTemplateDocerSaveRecord">
    <vt:lpwstr>eyJoZGlkIjoiYTdhMDAxZTE3ZGYyMjE1NTNlZjhmYTUzYjZiYjE3MjEiLCJ1c2VySWQiOiI1OTY2MTI4NTIifQ==</vt:lpwstr>
  </property>
</Properties>
</file>